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FB" w:rsidRDefault="00071AFB" w:rsidP="00A53D96">
      <w:pPr>
        <w:spacing w:line="360" w:lineRule="auto"/>
        <w:jc w:val="center"/>
        <w:rPr>
          <w:rFonts w:ascii="方正小标宋简体" w:eastAsia="方正小标宋简体"/>
          <w:sz w:val="44"/>
          <w:szCs w:val="44"/>
        </w:rPr>
      </w:pPr>
    </w:p>
    <w:p w:rsidR="00071AFB" w:rsidRPr="00071AFB" w:rsidRDefault="003F23C2" w:rsidP="00071AFB">
      <w:pPr>
        <w:spacing w:line="360" w:lineRule="auto"/>
        <w:jc w:val="center"/>
        <w:rPr>
          <w:rFonts w:ascii="方正小标宋简体" w:eastAsia="方正小标宋简体"/>
          <w:sz w:val="44"/>
          <w:szCs w:val="44"/>
        </w:rPr>
      </w:pPr>
      <w:r w:rsidRPr="003F23C2">
        <w:rPr>
          <w:rFonts w:ascii="方正小标宋简体" w:eastAsia="方正小标宋简体" w:hint="eastAsia"/>
          <w:sz w:val="44"/>
          <w:szCs w:val="44"/>
        </w:rPr>
        <w:t>深圳市政务云建设项目（一期）</w:t>
      </w:r>
      <w:bookmarkStart w:id="0" w:name="_GoBack"/>
      <w:bookmarkEnd w:id="0"/>
      <w:r w:rsidR="00CD65E2" w:rsidRPr="00CD65E2">
        <w:rPr>
          <w:rFonts w:ascii="方正小标宋简体" w:eastAsia="方正小标宋简体" w:hint="eastAsia"/>
          <w:sz w:val="44"/>
          <w:szCs w:val="44"/>
        </w:rPr>
        <w:t>情况简介</w:t>
      </w:r>
    </w:p>
    <w:p w:rsidR="00071AFB" w:rsidRDefault="00071AFB" w:rsidP="003F23C2">
      <w:pPr>
        <w:spacing w:line="360" w:lineRule="auto"/>
        <w:ind w:firstLineChars="200" w:firstLine="640"/>
        <w:rPr>
          <w:rFonts w:ascii="仿宋_GB2312" w:eastAsia="仿宋_GB2312"/>
          <w:sz w:val="32"/>
          <w:szCs w:val="32"/>
        </w:rPr>
      </w:pPr>
    </w:p>
    <w:p w:rsidR="003F23C2" w:rsidRPr="003F23C2" w:rsidRDefault="003F23C2" w:rsidP="003F23C2">
      <w:pPr>
        <w:spacing w:line="360" w:lineRule="auto"/>
        <w:ind w:firstLineChars="200" w:firstLine="640"/>
        <w:rPr>
          <w:rFonts w:ascii="仿宋_GB2312" w:eastAsia="仿宋_GB2312"/>
          <w:sz w:val="32"/>
          <w:szCs w:val="32"/>
        </w:rPr>
      </w:pPr>
      <w:r w:rsidRPr="003F23C2">
        <w:rPr>
          <w:rFonts w:ascii="仿宋_GB2312" w:eastAsia="仿宋_GB2312" w:hint="eastAsia"/>
          <w:sz w:val="32"/>
          <w:szCs w:val="32"/>
        </w:rPr>
        <w:t>根据《深圳市电子政务总体框架》、我市2017 年推进“互联网+政务服务”改革工作计划要点的通知、《深圳市发展和改革委员会关于印发《深圳城市基础设施建设五年行动计划（2016-2020 年）》、《深圳市人民政府关于印发2018 年重点工作责任分工一览表的通知》及《深圳市人民政府办公厅关于加快推进新型智慧城市暨“数字政府”建设2018年工作的通知》等文件要求，深圳市电子政务资源中心负责承担深圳市政务云建设工作。同时深圳市政务云建设工作已经市政府常务会议审议通过列为应急工程。</w:t>
      </w:r>
    </w:p>
    <w:p w:rsidR="0053484D" w:rsidRDefault="003F23C2" w:rsidP="0053484D">
      <w:pPr>
        <w:spacing w:line="360" w:lineRule="auto"/>
        <w:ind w:firstLineChars="200" w:firstLine="640"/>
        <w:rPr>
          <w:rFonts w:ascii="仿宋_GB2312" w:eastAsia="仿宋_GB2312"/>
          <w:sz w:val="32"/>
          <w:szCs w:val="32"/>
        </w:rPr>
      </w:pPr>
      <w:r w:rsidRPr="003F23C2">
        <w:rPr>
          <w:rFonts w:ascii="仿宋_GB2312" w:eastAsia="仿宋_GB2312" w:hint="eastAsia"/>
          <w:sz w:val="32"/>
          <w:szCs w:val="32"/>
        </w:rPr>
        <w:t>深圳市政务云是深圳市电子政务发展的最基础、最重要的IT基础实施，同时也将为新型智慧城市、数字政务建设的提供重要基础支撑保障。根据深圳市发改委关于深圳市政务云建设项目（一期）总概算的批复要求，本项目将依托市电子政务资源现有IDC机房环境，按照云等保三级标准，统筹建设全市统一的政务云平台，主要包括云管平台及IAAS、PAAS等建设内容，为各部门提供业务部署的计算、存储、网络、安全及应用软件支撑服务。</w:t>
      </w:r>
    </w:p>
    <w:p w:rsidR="0053484D" w:rsidRDefault="0053484D" w:rsidP="0053484D">
      <w:pPr>
        <w:spacing w:line="360" w:lineRule="auto"/>
        <w:ind w:firstLineChars="200" w:firstLine="640"/>
        <w:rPr>
          <w:rFonts w:ascii="仿宋_GB2312" w:eastAsia="仿宋_GB2312"/>
          <w:sz w:val="32"/>
          <w:szCs w:val="32"/>
        </w:rPr>
      </w:pPr>
      <w:r w:rsidRPr="0053484D">
        <w:rPr>
          <w:rFonts w:ascii="仿宋_GB2312" w:eastAsia="仿宋_GB2312" w:hint="eastAsia"/>
          <w:sz w:val="32"/>
          <w:szCs w:val="32"/>
        </w:rPr>
        <w:t>深圳市政务云建设项目（一期）建设内容</w:t>
      </w:r>
      <w:r w:rsidR="00B010A9">
        <w:rPr>
          <w:rFonts w:ascii="仿宋_GB2312" w:eastAsia="仿宋_GB2312" w:hint="eastAsia"/>
          <w:sz w:val="32"/>
          <w:szCs w:val="32"/>
        </w:rPr>
        <w:t>：</w:t>
      </w:r>
    </w:p>
    <w:p w:rsidR="0053484D" w:rsidRPr="0053484D" w:rsidRDefault="0053484D" w:rsidP="0053484D">
      <w:pPr>
        <w:ind w:firstLineChars="200" w:firstLine="640"/>
        <w:rPr>
          <w:rFonts w:ascii="仿宋_GB2312" w:eastAsia="仿宋_GB2312"/>
          <w:sz w:val="32"/>
          <w:szCs w:val="32"/>
        </w:rPr>
      </w:pPr>
      <w:r w:rsidRPr="0053484D">
        <w:rPr>
          <w:rFonts w:ascii="仿宋_GB2312" w:eastAsia="仿宋_GB2312" w:hint="eastAsia"/>
          <w:sz w:val="32"/>
          <w:szCs w:val="32"/>
        </w:rPr>
        <w:lastRenderedPageBreak/>
        <w:t>（</w:t>
      </w:r>
      <w:r>
        <w:rPr>
          <w:rFonts w:ascii="仿宋_GB2312" w:eastAsia="仿宋_GB2312" w:hint="eastAsia"/>
          <w:sz w:val="32"/>
          <w:szCs w:val="32"/>
        </w:rPr>
        <w:t>一</w:t>
      </w:r>
      <w:r w:rsidRPr="0053484D">
        <w:rPr>
          <w:rFonts w:ascii="仿宋_GB2312" w:eastAsia="仿宋_GB2312" w:hint="eastAsia"/>
          <w:sz w:val="32"/>
          <w:szCs w:val="32"/>
        </w:rPr>
        <w:t>）建设目标：满足深圳新型智慧城市“两个一流”的建设要求，以建设绿色节能的“两地三中心”数据中心体系架构为总体目标，建设云资源弹性分配能力、安全保障能力、云业务应用水平、运维服务水平国内一流的政务云，满足我市未来三年新建信息化项目对</w:t>
      </w:r>
      <w:r w:rsidRPr="0053484D">
        <w:rPr>
          <w:rFonts w:ascii="仿宋_GB2312" w:eastAsia="仿宋_GB2312"/>
          <w:sz w:val="32"/>
          <w:szCs w:val="32"/>
        </w:rPr>
        <w:t>IAAS</w:t>
      </w:r>
      <w:r w:rsidRPr="0053484D">
        <w:rPr>
          <w:rFonts w:ascii="仿宋_GB2312" w:eastAsia="仿宋_GB2312" w:hint="eastAsia"/>
          <w:sz w:val="32"/>
          <w:szCs w:val="32"/>
        </w:rPr>
        <w:t>（基础设施即服务）、</w:t>
      </w:r>
      <w:r w:rsidRPr="0053484D">
        <w:rPr>
          <w:rFonts w:ascii="仿宋_GB2312" w:eastAsia="仿宋_GB2312"/>
          <w:sz w:val="32"/>
          <w:szCs w:val="32"/>
        </w:rPr>
        <w:t>PAAS</w:t>
      </w:r>
      <w:r w:rsidRPr="0053484D">
        <w:rPr>
          <w:rFonts w:ascii="仿宋_GB2312" w:eastAsia="仿宋_GB2312" w:hint="eastAsia"/>
          <w:sz w:val="32"/>
          <w:szCs w:val="32"/>
        </w:rPr>
        <w:t>（平台即服务）、</w:t>
      </w:r>
      <w:r w:rsidRPr="0053484D">
        <w:rPr>
          <w:rFonts w:ascii="仿宋_GB2312" w:eastAsia="仿宋_GB2312"/>
          <w:sz w:val="32"/>
          <w:szCs w:val="32"/>
        </w:rPr>
        <w:t>SASS</w:t>
      </w:r>
      <w:r w:rsidRPr="0053484D">
        <w:rPr>
          <w:rFonts w:ascii="仿宋_GB2312" w:eastAsia="仿宋_GB2312" w:hint="eastAsia"/>
          <w:sz w:val="32"/>
          <w:szCs w:val="32"/>
        </w:rPr>
        <w:t>（软件即服务）层服务的云计算环境需求，具备不同等保级别按需交付能力和关键业务双活、数据级容灾服务能力。</w:t>
      </w:r>
      <w:r w:rsidRPr="0053484D">
        <w:rPr>
          <w:rFonts w:ascii="仿宋_GB2312" w:eastAsia="仿宋_GB2312"/>
          <w:sz w:val="32"/>
          <w:szCs w:val="32"/>
        </w:rPr>
        <w:t>2019</w:t>
      </w:r>
      <w:r w:rsidRPr="0053484D">
        <w:rPr>
          <w:rFonts w:ascii="仿宋_GB2312" w:eastAsia="仿宋_GB2312" w:hint="eastAsia"/>
          <w:sz w:val="32"/>
          <w:szCs w:val="32"/>
        </w:rPr>
        <w:t>年底，完成列入上云范围的相关信息化项目的迁移工作，实现信息资源的整合共享和业务协同。</w:t>
      </w:r>
    </w:p>
    <w:p w:rsidR="0053484D" w:rsidRPr="0053484D" w:rsidRDefault="0053484D" w:rsidP="0053484D">
      <w:pPr>
        <w:pStyle w:val="a6"/>
        <w:ind w:left="420" w:firstLineChars="0" w:firstLine="0"/>
        <w:rPr>
          <w:rFonts w:ascii="仿宋_GB2312" w:eastAsia="仿宋_GB2312"/>
          <w:sz w:val="32"/>
          <w:szCs w:val="32"/>
        </w:rPr>
      </w:pPr>
      <w:r w:rsidRPr="0053484D">
        <w:rPr>
          <w:rFonts w:ascii="仿宋_GB2312" w:eastAsia="仿宋_GB2312" w:hint="eastAsia"/>
          <w:sz w:val="32"/>
          <w:szCs w:val="32"/>
        </w:rPr>
        <w:t>（</w:t>
      </w:r>
      <w:r>
        <w:rPr>
          <w:rFonts w:ascii="仿宋_GB2312" w:eastAsia="仿宋_GB2312" w:hint="eastAsia"/>
          <w:sz w:val="32"/>
          <w:szCs w:val="32"/>
        </w:rPr>
        <w:t>二</w:t>
      </w:r>
      <w:r w:rsidRPr="0053484D">
        <w:rPr>
          <w:rFonts w:ascii="仿宋_GB2312" w:eastAsia="仿宋_GB2312" w:hint="eastAsia"/>
          <w:sz w:val="32"/>
          <w:szCs w:val="32"/>
        </w:rPr>
        <w:t>）主要建设内容：</w:t>
      </w:r>
    </w:p>
    <w:tbl>
      <w:tblPr>
        <w:tblpPr w:leftFromText="180" w:rightFromText="180" w:vertAnchor="text" w:horzAnchor="page" w:tblpXSpec="center" w:tblpY="298"/>
        <w:tblOverlap w:val="never"/>
        <w:tblW w:w="9031" w:type="dxa"/>
        <w:tblCellSpacing w:w="0" w:type="dxa"/>
        <w:tblLayout w:type="fixed"/>
        <w:tblCellMar>
          <w:left w:w="0" w:type="dxa"/>
          <w:right w:w="0" w:type="dxa"/>
        </w:tblCellMar>
        <w:tblLook w:val="04A0" w:firstRow="1" w:lastRow="0" w:firstColumn="1" w:lastColumn="0" w:noHBand="0" w:noVBand="1"/>
      </w:tblPr>
      <w:tblGrid>
        <w:gridCol w:w="1506"/>
        <w:gridCol w:w="7525"/>
      </w:tblGrid>
      <w:tr w:rsidR="0053484D" w:rsidTr="00B010A9">
        <w:trPr>
          <w:trHeight w:val="488"/>
          <w:tblCellSpacing w:w="0" w:type="dxa"/>
        </w:trPr>
        <w:tc>
          <w:tcPr>
            <w:tcW w:w="1506" w:type="dxa"/>
            <w:tcBorders>
              <w:top w:val="single" w:sz="2" w:space="0" w:color="FFFFFF"/>
              <w:left w:val="single" w:sz="2" w:space="0" w:color="FFFFFF"/>
              <w:bottom w:val="single" w:sz="8" w:space="0" w:color="FFFFFF"/>
              <w:right w:val="single" w:sz="2" w:space="0" w:color="FFFFFF"/>
            </w:tcBorders>
            <w:shd w:val="clear" w:color="auto" w:fill="5B9BD5"/>
            <w:tcMar>
              <w:top w:w="66" w:type="dxa"/>
              <w:left w:w="133" w:type="dxa"/>
              <w:bottom w:w="66" w:type="dxa"/>
              <w:right w:w="133" w:type="dxa"/>
            </w:tcMar>
            <w:vAlign w:val="center"/>
            <w:hideMark/>
          </w:tcPr>
          <w:p w:rsidR="0053484D" w:rsidRDefault="0053484D">
            <w:pPr>
              <w:pStyle w:val="a5"/>
              <w:widowControl/>
              <w:jc w:val="center"/>
            </w:pPr>
            <w:r>
              <w:rPr>
                <w:rFonts w:hint="eastAsia"/>
                <w:b/>
                <w:color w:val="FFFFFF"/>
              </w:rPr>
              <w:t>建设内容</w:t>
            </w:r>
          </w:p>
        </w:tc>
        <w:tc>
          <w:tcPr>
            <w:tcW w:w="7525" w:type="dxa"/>
            <w:tcBorders>
              <w:top w:val="single" w:sz="2" w:space="0" w:color="FFFFFF"/>
              <w:left w:val="single" w:sz="2" w:space="0" w:color="FFFFFF"/>
              <w:bottom w:val="single" w:sz="8" w:space="0" w:color="FFFFFF"/>
              <w:right w:val="single" w:sz="2" w:space="0" w:color="FFFFFF"/>
            </w:tcBorders>
            <w:shd w:val="clear" w:color="auto" w:fill="5B9BD5"/>
            <w:tcMar>
              <w:top w:w="66" w:type="dxa"/>
              <w:left w:w="133" w:type="dxa"/>
              <w:bottom w:w="66" w:type="dxa"/>
              <w:right w:w="133" w:type="dxa"/>
            </w:tcMar>
            <w:vAlign w:val="center"/>
            <w:hideMark/>
          </w:tcPr>
          <w:p w:rsidR="0053484D" w:rsidRDefault="0053484D">
            <w:pPr>
              <w:pStyle w:val="a5"/>
              <w:widowControl/>
              <w:jc w:val="center"/>
            </w:pPr>
            <w:r>
              <w:rPr>
                <w:rFonts w:hint="eastAsia"/>
                <w:b/>
                <w:color w:val="FFFFFF"/>
              </w:rPr>
              <w:t>详</w:t>
            </w:r>
            <w:r>
              <w:rPr>
                <w:b/>
                <w:color w:val="FFFFFF"/>
              </w:rPr>
              <w:t> </w:t>
            </w:r>
            <w:r>
              <w:rPr>
                <w:rFonts w:hint="eastAsia"/>
                <w:b/>
                <w:color w:val="FFFFFF"/>
              </w:rPr>
              <w:t>细</w:t>
            </w:r>
            <w:r>
              <w:rPr>
                <w:b/>
                <w:color w:val="FFFFFF"/>
              </w:rPr>
              <w:t> </w:t>
            </w:r>
            <w:r>
              <w:rPr>
                <w:rFonts w:hint="eastAsia"/>
                <w:b/>
                <w:color w:val="FFFFFF"/>
              </w:rPr>
              <w:t>说</w:t>
            </w:r>
            <w:r>
              <w:rPr>
                <w:b/>
                <w:color w:val="FFFFFF"/>
              </w:rPr>
              <w:t> </w:t>
            </w:r>
            <w:r>
              <w:rPr>
                <w:rFonts w:hint="eastAsia"/>
                <w:b/>
                <w:color w:val="FFFFFF"/>
              </w:rPr>
              <w:t>明</w:t>
            </w:r>
          </w:p>
        </w:tc>
      </w:tr>
      <w:tr w:rsidR="0053484D" w:rsidTr="00B010A9">
        <w:trPr>
          <w:trHeight w:val="1280"/>
          <w:tblCellSpacing w:w="0" w:type="dxa"/>
        </w:trPr>
        <w:tc>
          <w:tcPr>
            <w:tcW w:w="1506" w:type="dxa"/>
            <w:vMerge w:val="restart"/>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vAlign w:val="cente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IAAS层服务</w:t>
            </w:r>
          </w:p>
        </w:tc>
        <w:tc>
          <w:tcPr>
            <w:tcW w:w="7525"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主机规模：具备云计算能力CPU 11481核，内存 192276GB（由410台物理服务器通过虚拟化分配），虚拟机分配数量5000+以上。</w:t>
            </w:r>
            <w:r>
              <w:rPr>
                <w:rFonts w:ascii="宋体" w:hAnsi="宋体" w:cs="宋体" w:hint="eastAsia"/>
                <w:color w:val="000000"/>
                <w:sz w:val="21"/>
                <w:szCs w:val="21"/>
              </w:rPr>
              <w:br/>
              <w:t>用于部署数据库及其它专用业务（视频、人工智能处理）的物理服务器90台（CPU 5040核，内存46080GB）；</w:t>
            </w:r>
            <w:r>
              <w:rPr>
                <w:rFonts w:ascii="宋体" w:hAnsi="宋体" w:cs="宋体" w:hint="eastAsia"/>
                <w:color w:val="000000"/>
                <w:sz w:val="21"/>
                <w:szCs w:val="21"/>
              </w:rPr>
              <w:br/>
              <w:t>服务方式：虚拟主机、裸金属、物理服务器供用户申请使用</w:t>
            </w:r>
          </w:p>
        </w:tc>
      </w:tr>
      <w:tr w:rsidR="0053484D" w:rsidTr="00B010A9">
        <w:trPr>
          <w:trHeight w:val="980"/>
          <w:tblCellSpacing w:w="0" w:type="dxa"/>
        </w:trPr>
        <w:tc>
          <w:tcPr>
            <w:tcW w:w="1506" w:type="dxa"/>
            <w:vMerge/>
            <w:tcBorders>
              <w:top w:val="single" w:sz="2" w:space="0" w:color="FFFFFF"/>
              <w:left w:val="single" w:sz="2" w:space="0" w:color="FFFFFF"/>
              <w:bottom w:val="single" w:sz="8"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8" w:space="0" w:color="FFFFFF"/>
              <w:right w:val="single" w:sz="2" w:space="0" w:color="FFFFFF"/>
            </w:tcBorders>
            <w:shd w:val="clear" w:color="auto" w:fill="EAEFF7"/>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存储规模：具备8PB存储规模的服务能力（SAN存储、虚拟化分布式存储、NAS存储、备份存储）；</w:t>
            </w:r>
            <w:r>
              <w:rPr>
                <w:rFonts w:ascii="宋体" w:hAnsi="宋体" w:cs="宋体" w:hint="eastAsia"/>
                <w:color w:val="000000"/>
                <w:sz w:val="21"/>
                <w:szCs w:val="21"/>
              </w:rPr>
              <w:br/>
              <w:t>服务方式：根据用户申请提供块存储、文件存储和对象存储等三种存储类型的服务，支持FCSAN、IPSAN，支持iSCSI、FC、NFS、CIFS、HTTP、FTP等主流存储网络协议。</w:t>
            </w:r>
          </w:p>
        </w:tc>
      </w:tr>
      <w:tr w:rsidR="0053484D" w:rsidTr="00B010A9">
        <w:trPr>
          <w:trHeight w:val="580"/>
          <w:tblCellSpacing w:w="0" w:type="dxa"/>
        </w:trPr>
        <w:tc>
          <w:tcPr>
            <w:tcW w:w="1506" w:type="dxa"/>
            <w:vMerge/>
            <w:tcBorders>
              <w:top w:val="single" w:sz="2" w:space="0" w:color="FFFFFF"/>
              <w:left w:val="single" w:sz="2" w:space="0" w:color="FFFFFF"/>
              <w:bottom w:val="single" w:sz="8"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网络：根据用户申请提供虚拟网络、SDN、VDC（虚拟数据中心）、负载均衡和弹性外网等网络服务</w:t>
            </w:r>
          </w:p>
        </w:tc>
      </w:tr>
      <w:tr w:rsidR="0053484D" w:rsidTr="00B010A9">
        <w:trPr>
          <w:trHeight w:val="1280"/>
          <w:tblCellSpacing w:w="0" w:type="dxa"/>
        </w:trPr>
        <w:tc>
          <w:tcPr>
            <w:tcW w:w="1506" w:type="dxa"/>
            <w:vMerge/>
            <w:tcBorders>
              <w:top w:val="single" w:sz="2" w:space="0" w:color="FFFFFF"/>
              <w:left w:val="single" w:sz="2" w:space="0" w:color="FFFFFF"/>
              <w:bottom w:val="single" w:sz="8"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8" w:space="0" w:color="FFFFFF"/>
              <w:right w:val="single" w:sz="2" w:space="0" w:color="FFFFFF"/>
            </w:tcBorders>
            <w:shd w:val="clear" w:color="auto" w:fill="EAEFF7"/>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安全：符合云计算三级等保标准，并根据用户申请提供如下服务：</w:t>
            </w:r>
            <w:r>
              <w:rPr>
                <w:rFonts w:ascii="宋体" w:hAnsi="宋体" w:cs="宋体" w:hint="eastAsia"/>
                <w:color w:val="000000"/>
                <w:sz w:val="21"/>
                <w:szCs w:val="21"/>
              </w:rPr>
              <w:br/>
              <w:t>1、不同等保级别（二级、三级等保）安全区域环境服务;</w:t>
            </w:r>
            <w:r>
              <w:rPr>
                <w:rFonts w:ascii="宋体" w:hAnsi="宋体" w:cs="宋体" w:hint="eastAsia"/>
                <w:color w:val="000000"/>
                <w:sz w:val="21"/>
                <w:szCs w:val="21"/>
              </w:rPr>
              <w:br/>
              <w:t>2、虚拟安全设备部署、安全防范等服务，具体包括VFW、VLB、VWAF、数据审计、IPS、网页防篡改、 抗拒绝服务、态势感知、防病毒、VPN等;</w:t>
            </w:r>
            <w:r>
              <w:rPr>
                <w:rFonts w:ascii="宋体" w:hAnsi="宋体" w:cs="宋体" w:hint="eastAsia"/>
                <w:color w:val="000000"/>
                <w:sz w:val="21"/>
                <w:szCs w:val="21"/>
              </w:rPr>
              <w:br/>
              <w:t>3、数据容灾备份、关键业务/应用级双活服务;</w:t>
            </w:r>
          </w:p>
        </w:tc>
      </w:tr>
      <w:tr w:rsidR="0053484D" w:rsidTr="00B010A9">
        <w:trPr>
          <w:trHeight w:val="640"/>
          <w:tblCellSpacing w:w="0" w:type="dxa"/>
        </w:trPr>
        <w:tc>
          <w:tcPr>
            <w:tcW w:w="1506"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vAlign w:val="cente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lastRenderedPageBreak/>
              <w:t>PaaS层服务</w:t>
            </w:r>
          </w:p>
        </w:tc>
        <w:tc>
          <w:tcPr>
            <w:tcW w:w="7525"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PaaS政务使能平台（包含容器应用、微服务、应用调度与资源管理、云服务市场）、分布式数据库系统、商用及开源数据库、商用及开源中间件。</w:t>
            </w:r>
          </w:p>
        </w:tc>
      </w:tr>
      <w:tr w:rsidR="0053484D" w:rsidTr="00B010A9">
        <w:trPr>
          <w:trHeight w:val="456"/>
          <w:tblCellSpacing w:w="0" w:type="dxa"/>
        </w:trPr>
        <w:tc>
          <w:tcPr>
            <w:tcW w:w="1506" w:type="dxa"/>
            <w:tcBorders>
              <w:top w:val="single" w:sz="2" w:space="0" w:color="FFFFFF"/>
              <w:left w:val="single" w:sz="2" w:space="0" w:color="FFFFFF"/>
              <w:bottom w:val="single" w:sz="8" w:space="0" w:color="FFFFFF"/>
              <w:right w:val="single" w:sz="2" w:space="0" w:color="FFFFFF"/>
            </w:tcBorders>
            <w:shd w:val="clear" w:color="auto" w:fill="EAEFF7"/>
            <w:tcMar>
              <w:top w:w="66" w:type="dxa"/>
              <w:left w:w="133" w:type="dxa"/>
              <w:bottom w:w="66" w:type="dxa"/>
              <w:right w:w="133" w:type="dxa"/>
            </w:tcMar>
            <w:vAlign w:val="cente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SaaS层服务</w:t>
            </w:r>
          </w:p>
        </w:tc>
        <w:tc>
          <w:tcPr>
            <w:tcW w:w="7525" w:type="dxa"/>
            <w:tcBorders>
              <w:top w:val="single" w:sz="2" w:space="0" w:color="FFFFFF"/>
              <w:left w:val="single" w:sz="2" w:space="0" w:color="FFFFFF"/>
              <w:bottom w:val="single" w:sz="8" w:space="0" w:color="FFFFFF"/>
              <w:right w:val="single" w:sz="2" w:space="0" w:color="FFFFFF"/>
            </w:tcBorders>
            <w:shd w:val="clear" w:color="auto" w:fill="EAEFF7"/>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提供移动安全办公、云邮箱、短信、网站平台</w:t>
            </w:r>
          </w:p>
        </w:tc>
      </w:tr>
      <w:tr w:rsidR="0053484D" w:rsidTr="00B010A9">
        <w:trPr>
          <w:trHeight w:val="580"/>
          <w:tblCellSpacing w:w="0" w:type="dxa"/>
        </w:trPr>
        <w:tc>
          <w:tcPr>
            <w:tcW w:w="1506" w:type="dxa"/>
            <w:vMerge w:val="restart"/>
            <w:tcBorders>
              <w:top w:val="single" w:sz="2" w:space="0" w:color="FFFFFF"/>
              <w:left w:val="single" w:sz="2" w:space="0" w:color="FFFFFF"/>
              <w:bottom w:val="single" w:sz="2" w:space="0" w:color="FFFFFF"/>
              <w:right w:val="single" w:sz="2" w:space="0" w:color="FFFFFF"/>
            </w:tcBorders>
            <w:shd w:val="clear" w:color="auto" w:fill="D2DEEF"/>
            <w:tcMar>
              <w:top w:w="66" w:type="dxa"/>
              <w:left w:w="133" w:type="dxa"/>
              <w:bottom w:w="66" w:type="dxa"/>
              <w:right w:w="133" w:type="dxa"/>
            </w:tcMar>
            <w:vAlign w:val="cente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统一云管理平台</w:t>
            </w:r>
          </w:p>
        </w:tc>
        <w:tc>
          <w:tcPr>
            <w:tcW w:w="7525"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包括用户自助申请服务、运维管理、监管等三大门户及资源管理、云监控、云安全、云运营等四大模块。</w:t>
            </w:r>
          </w:p>
        </w:tc>
      </w:tr>
      <w:tr w:rsidR="0053484D" w:rsidTr="00B010A9">
        <w:trPr>
          <w:trHeight w:val="460"/>
          <w:tblCellSpacing w:w="0" w:type="dxa"/>
        </w:trPr>
        <w:tc>
          <w:tcPr>
            <w:tcW w:w="1506" w:type="dxa"/>
            <w:vMerge/>
            <w:tcBorders>
              <w:top w:val="single" w:sz="2" w:space="0" w:color="FFFFFF"/>
              <w:left w:val="single" w:sz="2" w:space="0" w:color="FFFFFF"/>
              <w:bottom w:val="single" w:sz="2"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8" w:space="0" w:color="FFFFFF"/>
              <w:right w:val="single" w:sz="2" w:space="0" w:color="FFFFFF"/>
            </w:tcBorders>
            <w:shd w:val="clear" w:color="auto" w:fill="EAEFF7"/>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用户自助服务：为各单位、用户提供政务云资源申请自助申请、业务办理等服务</w:t>
            </w:r>
          </w:p>
        </w:tc>
      </w:tr>
      <w:tr w:rsidR="0053484D" w:rsidTr="00B010A9">
        <w:trPr>
          <w:trHeight w:val="580"/>
          <w:tblCellSpacing w:w="0" w:type="dxa"/>
        </w:trPr>
        <w:tc>
          <w:tcPr>
            <w:tcW w:w="1506" w:type="dxa"/>
            <w:vMerge/>
            <w:tcBorders>
              <w:top w:val="single" w:sz="2" w:space="0" w:color="FFFFFF"/>
              <w:left w:val="single" w:sz="2" w:space="0" w:color="FFFFFF"/>
              <w:bottom w:val="single" w:sz="2"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8" w:space="0" w:color="FFFFFF"/>
              <w:right w:val="single" w:sz="2" w:space="0" w:color="FFFFFF"/>
            </w:tcBorders>
            <w:shd w:val="clear" w:color="auto" w:fill="D2DEEF"/>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监管服务：为监管单位如市发改委、市经信委等提供政务云平台使用情况、资源利用绩效评估等服务</w:t>
            </w:r>
          </w:p>
        </w:tc>
      </w:tr>
      <w:tr w:rsidR="0053484D" w:rsidTr="00B010A9">
        <w:trPr>
          <w:trHeight w:val="580"/>
          <w:tblCellSpacing w:w="0" w:type="dxa"/>
        </w:trPr>
        <w:tc>
          <w:tcPr>
            <w:tcW w:w="1506" w:type="dxa"/>
            <w:vMerge/>
            <w:tcBorders>
              <w:top w:val="single" w:sz="2" w:space="0" w:color="FFFFFF"/>
              <w:left w:val="single" w:sz="2" w:space="0" w:color="FFFFFF"/>
              <w:bottom w:val="single" w:sz="2" w:space="0" w:color="FFFFFF"/>
              <w:right w:val="single" w:sz="2" w:space="0" w:color="FFFFFF"/>
            </w:tcBorders>
            <w:vAlign w:val="center"/>
            <w:hideMark/>
          </w:tcPr>
          <w:p w:rsidR="0053484D" w:rsidRDefault="0053484D">
            <w:pPr>
              <w:widowControl/>
              <w:jc w:val="left"/>
              <w:rPr>
                <w:rFonts w:ascii="宋体" w:hAnsi="宋体" w:cs="宋体"/>
                <w:kern w:val="0"/>
                <w:szCs w:val="21"/>
              </w:rPr>
            </w:pPr>
          </w:p>
        </w:tc>
        <w:tc>
          <w:tcPr>
            <w:tcW w:w="7525" w:type="dxa"/>
            <w:tcBorders>
              <w:top w:val="single" w:sz="2" w:space="0" w:color="FFFFFF"/>
              <w:left w:val="single" w:sz="2" w:space="0" w:color="FFFFFF"/>
              <w:bottom w:val="single" w:sz="2" w:space="0" w:color="FFFFFF"/>
              <w:right w:val="single" w:sz="2" w:space="0" w:color="FFFFFF"/>
            </w:tcBorders>
            <w:shd w:val="clear" w:color="auto" w:fill="EAEFF7"/>
            <w:tcMar>
              <w:top w:w="66" w:type="dxa"/>
              <w:left w:w="133" w:type="dxa"/>
              <w:bottom w:w="66" w:type="dxa"/>
              <w:right w:w="133" w:type="dxa"/>
            </w:tcMar>
            <w:hideMark/>
          </w:tcPr>
          <w:p w:rsidR="0053484D" w:rsidRDefault="0053484D">
            <w:pPr>
              <w:pStyle w:val="a5"/>
              <w:widowControl/>
              <w:rPr>
                <w:rFonts w:ascii="宋体" w:hAnsi="宋体" w:cs="宋体"/>
                <w:sz w:val="21"/>
                <w:szCs w:val="21"/>
              </w:rPr>
            </w:pPr>
            <w:r>
              <w:rPr>
                <w:rFonts w:ascii="宋体" w:hAnsi="宋体" w:cs="宋体" w:hint="eastAsia"/>
                <w:color w:val="000000"/>
                <w:sz w:val="21"/>
                <w:szCs w:val="21"/>
              </w:rPr>
              <w:t>运维监控服务：为单位运维人员、云平台管理单位提供云主机资源监控、设备运行状态、业务访问健康状态监测等服务</w:t>
            </w:r>
          </w:p>
        </w:tc>
      </w:tr>
    </w:tbl>
    <w:p w:rsidR="00B010A9" w:rsidRDefault="00B010A9" w:rsidP="003F23C2">
      <w:pPr>
        <w:spacing w:line="360" w:lineRule="auto"/>
        <w:ind w:firstLineChars="200" w:firstLine="640"/>
        <w:rPr>
          <w:rFonts w:ascii="仿宋_GB2312" w:eastAsia="仿宋_GB2312"/>
          <w:sz w:val="32"/>
          <w:szCs w:val="32"/>
        </w:rPr>
      </w:pPr>
    </w:p>
    <w:p w:rsidR="0053484D" w:rsidRPr="0053484D" w:rsidRDefault="00B010A9" w:rsidP="003F23C2">
      <w:pPr>
        <w:spacing w:line="360" w:lineRule="auto"/>
        <w:ind w:firstLineChars="200" w:firstLine="640"/>
        <w:rPr>
          <w:rFonts w:ascii="仿宋_GB2312" w:eastAsia="仿宋_GB2312"/>
          <w:sz w:val="32"/>
          <w:szCs w:val="32"/>
        </w:rPr>
      </w:pPr>
      <w:r w:rsidRPr="00B010A9">
        <w:rPr>
          <w:rFonts w:ascii="仿宋_GB2312" w:eastAsia="仿宋_GB2312" w:hint="eastAsia"/>
          <w:sz w:val="32"/>
          <w:szCs w:val="32"/>
        </w:rPr>
        <w:t>本项目的建设，构建安全、方便、快捷的电子政务基础网络；为电子政务系统提供统一的支撑平台，</w:t>
      </w:r>
      <w:r w:rsidR="00E500A5">
        <w:rPr>
          <w:rFonts w:asciiTheme="minorHAnsi" w:eastAsia="仿宋_GB2312" w:hAnsiTheme="minorHAnsi" w:hint="eastAsia"/>
          <w:sz w:val="32"/>
          <w:szCs w:val="32"/>
        </w:rPr>
        <w:t>将</w:t>
      </w:r>
      <w:r w:rsidRPr="00B010A9">
        <w:rPr>
          <w:rFonts w:ascii="仿宋_GB2312" w:eastAsia="仿宋_GB2312" w:hint="eastAsia"/>
          <w:sz w:val="32"/>
          <w:szCs w:val="32"/>
        </w:rPr>
        <w:t>进一步推动电子政务资源共享、互联互通、持续发展；集约建设，整合资源，深化应用，推动电子政务全网效益的最大化。</w:t>
      </w:r>
    </w:p>
    <w:p w:rsidR="00355555" w:rsidRPr="003F23C2" w:rsidRDefault="00355555"/>
    <w:sectPr w:rsidR="00355555" w:rsidRPr="003F2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1A6" w:rsidRDefault="00E911A6" w:rsidP="003F23C2">
      <w:r>
        <w:separator/>
      </w:r>
    </w:p>
  </w:endnote>
  <w:endnote w:type="continuationSeparator" w:id="0">
    <w:p w:rsidR="00E911A6" w:rsidRDefault="00E911A6" w:rsidP="003F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1A6" w:rsidRDefault="00E911A6" w:rsidP="003F23C2">
      <w:r>
        <w:separator/>
      </w:r>
    </w:p>
  </w:footnote>
  <w:footnote w:type="continuationSeparator" w:id="0">
    <w:p w:rsidR="00E911A6" w:rsidRDefault="00E911A6" w:rsidP="003F2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B6B31"/>
    <w:multiLevelType w:val="multilevel"/>
    <w:tmpl w:val="3C8B6B31"/>
    <w:lvl w:ilvl="0">
      <w:start w:val="1"/>
      <w:numFmt w:val="japaneseCounting"/>
      <w:lvlText w:val="%1、"/>
      <w:lvlJc w:val="left"/>
      <w:pPr>
        <w:tabs>
          <w:tab w:val="left" w:pos="570"/>
        </w:tabs>
        <w:ind w:left="570" w:hanging="57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76"/>
    <w:rsid w:val="00071AFB"/>
    <w:rsid w:val="00355555"/>
    <w:rsid w:val="003F23C2"/>
    <w:rsid w:val="0053484D"/>
    <w:rsid w:val="00677223"/>
    <w:rsid w:val="009B0505"/>
    <w:rsid w:val="00A53D96"/>
    <w:rsid w:val="00B010A9"/>
    <w:rsid w:val="00B96076"/>
    <w:rsid w:val="00CD65E2"/>
    <w:rsid w:val="00D17AA8"/>
    <w:rsid w:val="00E500A5"/>
    <w:rsid w:val="00E911A6"/>
    <w:rsid w:val="00FC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D576CB-4C8A-4415-BDE9-656F0017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3C2"/>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53484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3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23C2"/>
    <w:rPr>
      <w:sz w:val="18"/>
      <w:szCs w:val="18"/>
    </w:rPr>
  </w:style>
  <w:style w:type="paragraph" w:styleId="a4">
    <w:name w:val="footer"/>
    <w:basedOn w:val="a"/>
    <w:link w:val="Char0"/>
    <w:uiPriority w:val="99"/>
    <w:unhideWhenUsed/>
    <w:rsid w:val="003F23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23C2"/>
    <w:rPr>
      <w:sz w:val="18"/>
      <w:szCs w:val="18"/>
    </w:rPr>
  </w:style>
  <w:style w:type="character" w:customStyle="1" w:styleId="3Char">
    <w:name w:val="标题 3 Char"/>
    <w:basedOn w:val="a0"/>
    <w:link w:val="3"/>
    <w:uiPriority w:val="9"/>
    <w:semiHidden/>
    <w:rsid w:val="0053484D"/>
    <w:rPr>
      <w:rFonts w:ascii="Times New Roman" w:eastAsia="宋体" w:hAnsi="Times New Roman" w:cs="Times New Roman"/>
      <w:b/>
      <w:bCs/>
      <w:sz w:val="32"/>
      <w:szCs w:val="32"/>
    </w:rPr>
  </w:style>
  <w:style w:type="paragraph" w:styleId="a5">
    <w:name w:val="Normal (Web)"/>
    <w:basedOn w:val="a"/>
    <w:semiHidden/>
    <w:unhideWhenUsed/>
    <w:qFormat/>
    <w:rsid w:val="0053484D"/>
    <w:pPr>
      <w:spacing w:before="100" w:beforeAutospacing="1" w:after="100" w:afterAutospacing="1"/>
      <w:jc w:val="left"/>
    </w:pPr>
    <w:rPr>
      <w:kern w:val="0"/>
      <w:sz w:val="24"/>
    </w:rPr>
  </w:style>
  <w:style w:type="paragraph" w:styleId="a6">
    <w:name w:val="List Paragraph"/>
    <w:basedOn w:val="a"/>
    <w:uiPriority w:val="34"/>
    <w:qFormat/>
    <w:rsid w:val="005348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10634">
      <w:bodyDiv w:val="1"/>
      <w:marLeft w:val="0"/>
      <w:marRight w:val="0"/>
      <w:marTop w:val="0"/>
      <w:marBottom w:val="0"/>
      <w:divBdr>
        <w:top w:val="none" w:sz="0" w:space="0" w:color="auto"/>
        <w:left w:val="none" w:sz="0" w:space="0" w:color="auto"/>
        <w:bottom w:val="none" w:sz="0" w:space="0" w:color="auto"/>
        <w:right w:val="none" w:sz="0" w:space="0" w:color="auto"/>
      </w:divBdr>
    </w:div>
    <w:div w:id="1113592730">
      <w:bodyDiv w:val="1"/>
      <w:marLeft w:val="0"/>
      <w:marRight w:val="0"/>
      <w:marTop w:val="0"/>
      <w:marBottom w:val="0"/>
      <w:divBdr>
        <w:top w:val="none" w:sz="0" w:space="0" w:color="auto"/>
        <w:left w:val="none" w:sz="0" w:space="0" w:color="auto"/>
        <w:bottom w:val="none" w:sz="0" w:space="0" w:color="auto"/>
        <w:right w:val="none" w:sz="0" w:space="0" w:color="auto"/>
      </w:divBdr>
    </w:div>
    <w:div w:id="12390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郑庆雄</dc:creator>
  <cp:keywords/>
  <dc:description/>
  <cp:lastModifiedBy>郑庆雄</cp:lastModifiedBy>
  <cp:revision>9</cp:revision>
  <dcterms:created xsi:type="dcterms:W3CDTF">2018-08-27T03:43:00Z</dcterms:created>
  <dcterms:modified xsi:type="dcterms:W3CDTF">2018-08-27T05:04:00Z</dcterms:modified>
</cp:coreProperties>
</file>