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5454B">
      <w:pPr>
        <w:pStyle w:val="21"/>
        <w:keepNext w:val="0"/>
        <w:keepLines w:val="0"/>
        <w:pageBreakBefore w:val="0"/>
        <w:widowControl w:val="0"/>
        <w:kinsoku/>
        <w:wordWrap/>
        <w:overflowPunct/>
        <w:topLinePunct w:val="0"/>
        <w:autoSpaceDE/>
        <w:autoSpaceDN/>
        <w:bidi w:val="0"/>
        <w:adjustRightInd/>
        <w:snapToGrid/>
        <w:spacing w:before="0" w:after="0" w:line="420" w:lineRule="exact"/>
        <w:ind w:left="0" w:leftChars="0"/>
        <w:jc w:val="center"/>
        <w:textAlignment w:val="auto"/>
        <w:rPr>
          <w:rFonts w:hint="eastAsia" w:ascii="方正小标宋_GBK" w:hAnsi="方正小标宋_GBK" w:eastAsia="方正小标宋_GBK" w:cs="方正小标宋_GBK"/>
          <w:b w:val="0"/>
          <w:bCs w:val="0"/>
          <w:color w:val="auto"/>
          <w:kern w:val="0"/>
          <w:sz w:val="28"/>
          <w:szCs w:val="28"/>
          <w:highlight w:val="none"/>
          <w:lang w:val="en-US" w:eastAsia="zh-CN"/>
        </w:rPr>
      </w:pPr>
      <w:r>
        <w:rPr>
          <w:rFonts w:hint="eastAsia" w:ascii="方正小标宋_GBK" w:hAnsi="方正小标宋_GBK" w:eastAsia="方正小标宋_GBK" w:cs="方正小标宋_GBK"/>
          <w:b w:val="0"/>
          <w:bCs w:val="0"/>
          <w:color w:val="auto"/>
          <w:kern w:val="0"/>
          <w:sz w:val="28"/>
          <w:szCs w:val="28"/>
          <w:highlight w:val="none"/>
          <w:lang w:val="en-US" w:eastAsia="zh-CN"/>
        </w:rPr>
        <w:t>信息基础设施综合运维管理平台（一期）项目安全测评服务采购需求书</w:t>
      </w:r>
    </w:p>
    <w:p w14:paraId="2BB5FFBD">
      <w:pPr>
        <w:rPr>
          <w:rFonts w:hint="default"/>
          <w:lang w:val="en-US" w:eastAsia="zh-CN"/>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710"/>
        <w:gridCol w:w="450"/>
        <w:gridCol w:w="580"/>
        <w:gridCol w:w="1146"/>
        <w:gridCol w:w="281"/>
        <w:gridCol w:w="725"/>
        <w:gridCol w:w="810"/>
        <w:gridCol w:w="344"/>
        <w:gridCol w:w="990"/>
        <w:gridCol w:w="1921"/>
      </w:tblGrid>
      <w:tr w14:paraId="03D2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tcBorders>
              <w:tl2br w:val="nil"/>
              <w:tr2bl w:val="nil"/>
            </w:tcBorders>
            <w:vAlign w:val="center"/>
          </w:tcPr>
          <w:p w14:paraId="085C4845">
            <w:pPr>
              <w:keepNext w:val="0"/>
              <w:keepLines w:val="0"/>
              <w:pageBreakBefore w:val="0"/>
              <w:kinsoku/>
              <w:wordWrap/>
              <w:overflowPunct/>
              <w:topLinePunct w:val="0"/>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rPr>
            </w:pPr>
            <w:r>
              <w:rPr>
                <w:rFonts w:hint="eastAsia" w:ascii="宋体" w:hAnsi="宋体" w:eastAsia="宋体" w:cs="宋体"/>
                <w:color w:val="auto"/>
                <w:highlight w:val="none"/>
              </w:rPr>
              <w:t>※</w:t>
            </w:r>
            <w:r>
              <w:rPr>
                <w:rFonts w:hint="eastAsia" w:ascii="Times New Roman" w:hAnsi="Times New Roman" w:eastAsia="宋体" w:cs="Times New Roman"/>
                <w:color w:val="auto"/>
                <w:sz w:val="21"/>
                <w:szCs w:val="21"/>
                <w:highlight w:val="none"/>
              </w:rPr>
              <w:t>项目名称</w:t>
            </w:r>
          </w:p>
        </w:tc>
        <w:tc>
          <w:tcPr>
            <w:tcW w:w="2531" w:type="pct"/>
            <w:gridSpan w:val="7"/>
            <w:tcBorders>
              <w:tl2br w:val="nil"/>
              <w:tr2bl w:val="nil"/>
            </w:tcBorders>
            <w:vAlign w:val="center"/>
          </w:tcPr>
          <w:p w14:paraId="6FDF6D45">
            <w:pPr>
              <w:keepNext w:val="0"/>
              <w:keepLines w:val="0"/>
              <w:pageBreakBefore w:val="0"/>
              <w:kinsoku/>
              <w:wordWrap/>
              <w:overflowPunct/>
              <w:topLinePunct w:val="0"/>
              <w:bidi w:val="0"/>
              <w:adjustRightInd/>
              <w:snapToGrid/>
              <w:spacing w:line="240" w:lineRule="auto"/>
              <w:ind w:left="0" w:leftChars="0"/>
              <w:jc w:val="center"/>
              <w:textAlignment w:val="auto"/>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信息基础设施综合运维管理平台（一期）项目</w:t>
            </w:r>
          </w:p>
          <w:p w14:paraId="2271FD9F">
            <w:pPr>
              <w:keepNext w:val="0"/>
              <w:keepLines w:val="0"/>
              <w:pageBreakBefore w:val="0"/>
              <w:kinsoku/>
              <w:wordWrap/>
              <w:overflowPunct/>
              <w:topLinePunct w:val="0"/>
              <w:bidi w:val="0"/>
              <w:adjustRightInd/>
              <w:snapToGrid/>
              <w:spacing w:line="240" w:lineRule="auto"/>
              <w:ind w:left="0" w:leftChars="0"/>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heme="minorEastAsia" w:hAnsiTheme="minorEastAsia" w:eastAsiaTheme="minorEastAsia"/>
                <w:color w:val="auto"/>
                <w:szCs w:val="21"/>
                <w:highlight w:val="none"/>
                <w:lang w:val="en-US" w:eastAsia="zh-CN"/>
              </w:rPr>
              <w:t>安全</w:t>
            </w:r>
            <w:r>
              <w:rPr>
                <w:rFonts w:hint="eastAsia" w:asciiTheme="minorEastAsia" w:hAnsiTheme="minorEastAsia" w:eastAsiaTheme="minorEastAsia"/>
                <w:color w:val="auto"/>
                <w:szCs w:val="21"/>
                <w:highlight w:val="none"/>
                <w:lang w:eastAsia="zh-CN"/>
              </w:rPr>
              <w:t>测评服务</w:t>
            </w:r>
          </w:p>
        </w:tc>
        <w:tc>
          <w:tcPr>
            <w:tcW w:w="718" w:type="pct"/>
            <w:gridSpan w:val="2"/>
            <w:tcBorders>
              <w:tl2br w:val="nil"/>
              <w:tr2bl w:val="nil"/>
            </w:tcBorders>
            <w:vAlign w:val="center"/>
          </w:tcPr>
          <w:p w14:paraId="02D8EE4E">
            <w:pPr>
              <w:keepNext w:val="0"/>
              <w:keepLines w:val="0"/>
              <w:pageBreakBefore w:val="0"/>
              <w:kinsoku/>
              <w:wordWrap/>
              <w:overflowPunct/>
              <w:topLinePunct w:val="0"/>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rPr>
            </w:pPr>
            <w:r>
              <w:rPr>
                <w:rFonts w:hint="eastAsia" w:ascii="宋体" w:hAnsi="宋体" w:eastAsia="宋体" w:cs="宋体"/>
                <w:color w:val="auto"/>
                <w:highlight w:val="none"/>
              </w:rPr>
              <w:t>※</w:t>
            </w:r>
            <w:r>
              <w:rPr>
                <w:rFonts w:hint="eastAsia" w:ascii="Times New Roman" w:hAnsi="Times New Roman" w:eastAsia="宋体" w:cs="Times New Roman"/>
                <w:color w:val="auto"/>
                <w:sz w:val="21"/>
                <w:szCs w:val="21"/>
                <w:highlight w:val="none"/>
              </w:rPr>
              <w:t>采购方式</w:t>
            </w:r>
          </w:p>
        </w:tc>
        <w:tc>
          <w:tcPr>
            <w:tcW w:w="1034" w:type="pct"/>
            <w:tcBorders>
              <w:tl2br w:val="nil"/>
              <w:tr2bl w:val="nil"/>
            </w:tcBorders>
            <w:vAlign w:val="center"/>
          </w:tcPr>
          <w:p w14:paraId="01B5811F">
            <w:pPr>
              <w:keepNext w:val="0"/>
              <w:keepLines w:val="0"/>
              <w:pageBreakBefore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公开招标</w:t>
            </w:r>
          </w:p>
        </w:tc>
      </w:tr>
      <w:tr w14:paraId="0424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tcBorders>
              <w:tl2br w:val="nil"/>
              <w:tr2bl w:val="nil"/>
            </w:tcBorders>
            <w:vAlign w:val="center"/>
          </w:tcPr>
          <w:p w14:paraId="678EF708">
            <w:pPr>
              <w:keepNext w:val="0"/>
              <w:keepLines w:val="0"/>
              <w:pageBreakBefore w:val="0"/>
              <w:kinsoku/>
              <w:wordWrap/>
              <w:overflowPunct/>
              <w:topLinePunct w:val="0"/>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采购人名称</w:t>
            </w:r>
          </w:p>
        </w:tc>
        <w:tc>
          <w:tcPr>
            <w:tcW w:w="2531" w:type="pct"/>
            <w:gridSpan w:val="7"/>
            <w:tcBorders>
              <w:tl2br w:val="nil"/>
              <w:tr2bl w:val="nil"/>
            </w:tcBorders>
            <w:vAlign w:val="center"/>
          </w:tcPr>
          <w:p w14:paraId="221406F6">
            <w:pPr>
              <w:keepNext w:val="0"/>
              <w:keepLines w:val="0"/>
              <w:pageBreakBefore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深圳市大数据资源管理中心</w:t>
            </w:r>
          </w:p>
        </w:tc>
        <w:tc>
          <w:tcPr>
            <w:tcW w:w="718" w:type="pct"/>
            <w:gridSpan w:val="2"/>
            <w:tcBorders>
              <w:tl2br w:val="nil"/>
              <w:tr2bl w:val="nil"/>
            </w:tcBorders>
            <w:vAlign w:val="center"/>
          </w:tcPr>
          <w:p w14:paraId="0CBD5D71">
            <w:pPr>
              <w:keepNext w:val="0"/>
              <w:keepLines w:val="0"/>
              <w:pageBreakBefore w:val="0"/>
              <w:kinsoku/>
              <w:wordWrap/>
              <w:overflowPunct/>
              <w:topLinePunct w:val="0"/>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宋体"/>
                <w:color w:val="auto"/>
                <w:highlight w:val="none"/>
              </w:rPr>
              <w:t>※</w:t>
            </w:r>
            <w:r>
              <w:rPr>
                <w:rFonts w:hint="eastAsia" w:ascii="Times New Roman" w:hAnsi="Times New Roman" w:eastAsia="宋体" w:cs="Times New Roman"/>
                <w:color w:val="auto"/>
                <w:sz w:val="21"/>
                <w:szCs w:val="21"/>
                <w:highlight w:val="none"/>
              </w:rPr>
              <w:t>联系人</w:t>
            </w:r>
          </w:p>
        </w:tc>
        <w:tc>
          <w:tcPr>
            <w:tcW w:w="1034" w:type="pct"/>
            <w:tcBorders>
              <w:tl2br w:val="nil"/>
              <w:tr2bl w:val="nil"/>
            </w:tcBorders>
            <w:vAlign w:val="center"/>
          </w:tcPr>
          <w:p w14:paraId="05EA9821">
            <w:pPr>
              <w:keepNext w:val="0"/>
              <w:keepLines w:val="0"/>
              <w:pageBreakBefore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帅先生、88121641</w:t>
            </w:r>
          </w:p>
        </w:tc>
      </w:tr>
      <w:tr w14:paraId="01B8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tcBorders>
              <w:tl2br w:val="nil"/>
              <w:tr2bl w:val="nil"/>
            </w:tcBorders>
            <w:vAlign w:val="center"/>
          </w:tcPr>
          <w:p w14:paraId="02E29C7A">
            <w:pPr>
              <w:keepNext w:val="0"/>
              <w:keepLines w:val="0"/>
              <w:pageBreakBefore w:val="0"/>
              <w:kinsoku/>
              <w:wordWrap/>
              <w:overflowPunct/>
              <w:topLinePunct w:val="0"/>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计划立项</w:t>
            </w:r>
          </w:p>
          <w:p w14:paraId="53557A13">
            <w:pPr>
              <w:keepNext w:val="0"/>
              <w:keepLines w:val="0"/>
              <w:pageBreakBefore w:val="0"/>
              <w:kinsoku/>
              <w:wordWrap/>
              <w:overflowPunct/>
              <w:topLinePunct w:val="0"/>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批文号</w:t>
            </w:r>
          </w:p>
        </w:tc>
        <w:tc>
          <w:tcPr>
            <w:tcW w:w="936" w:type="pct"/>
            <w:gridSpan w:val="3"/>
            <w:tcBorders>
              <w:tl2br w:val="nil"/>
              <w:tr2bl w:val="nil"/>
            </w:tcBorders>
            <w:vAlign w:val="center"/>
          </w:tcPr>
          <w:p w14:paraId="2F7D8B32">
            <w:pPr>
              <w:keepNext w:val="0"/>
              <w:keepLines w:val="0"/>
              <w:pageBreakBefore w:val="0"/>
              <w:kinsoku/>
              <w:wordWrap/>
              <w:overflowPunct/>
              <w:topLinePunct w:val="0"/>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lang w:val="en-US" w:eastAsia="zh-CN"/>
              </w:rPr>
            </w:pPr>
          </w:p>
        </w:tc>
        <w:tc>
          <w:tcPr>
            <w:tcW w:w="768" w:type="pct"/>
            <w:gridSpan w:val="2"/>
            <w:tcBorders>
              <w:tl2br w:val="nil"/>
              <w:tr2bl w:val="nil"/>
            </w:tcBorders>
            <w:vAlign w:val="center"/>
          </w:tcPr>
          <w:p w14:paraId="42197BD3">
            <w:pPr>
              <w:keepNext w:val="0"/>
              <w:keepLines w:val="0"/>
              <w:pageBreakBefore w:val="0"/>
              <w:kinsoku/>
              <w:wordWrap/>
              <w:overflowPunct/>
              <w:topLinePunct w:val="0"/>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资金来源</w:t>
            </w:r>
          </w:p>
        </w:tc>
        <w:tc>
          <w:tcPr>
            <w:tcW w:w="826" w:type="pct"/>
            <w:gridSpan w:val="2"/>
            <w:tcBorders>
              <w:tl2br w:val="nil"/>
              <w:tr2bl w:val="nil"/>
            </w:tcBorders>
            <w:vAlign w:val="center"/>
          </w:tcPr>
          <w:p w14:paraId="5FC0F55F">
            <w:pPr>
              <w:keepNext w:val="0"/>
              <w:keepLines w:val="0"/>
              <w:pageBreakBefore w:val="0"/>
              <w:kinsoku/>
              <w:wordWrap/>
              <w:overflowPunct/>
              <w:topLinePunct w:val="0"/>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财政拨款</w:t>
            </w:r>
          </w:p>
        </w:tc>
        <w:tc>
          <w:tcPr>
            <w:tcW w:w="718" w:type="pct"/>
            <w:gridSpan w:val="2"/>
            <w:tcBorders>
              <w:tl2br w:val="nil"/>
              <w:tr2bl w:val="nil"/>
            </w:tcBorders>
            <w:vAlign w:val="center"/>
          </w:tcPr>
          <w:p w14:paraId="337564CE">
            <w:pPr>
              <w:keepNext w:val="0"/>
              <w:keepLines w:val="0"/>
              <w:pageBreakBefore w:val="0"/>
              <w:kinsoku/>
              <w:wordWrap/>
              <w:overflowPunct/>
              <w:topLinePunct w:val="0"/>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宋体"/>
                <w:color w:val="auto"/>
                <w:highlight w:val="none"/>
              </w:rPr>
              <w:t>※</w:t>
            </w:r>
            <w:r>
              <w:rPr>
                <w:rFonts w:hint="eastAsia" w:ascii="Times New Roman" w:hAnsi="Times New Roman" w:eastAsia="宋体" w:cs="Times New Roman"/>
                <w:color w:val="auto"/>
                <w:sz w:val="21"/>
                <w:szCs w:val="21"/>
                <w:highlight w:val="none"/>
              </w:rPr>
              <w:t>财政预算</w:t>
            </w:r>
          </w:p>
        </w:tc>
        <w:tc>
          <w:tcPr>
            <w:tcW w:w="1034" w:type="pct"/>
            <w:tcBorders>
              <w:tl2br w:val="nil"/>
              <w:tr2bl w:val="nil"/>
            </w:tcBorders>
            <w:vAlign w:val="center"/>
          </w:tcPr>
          <w:p w14:paraId="1A1EEA06">
            <w:pPr>
              <w:keepNext w:val="0"/>
              <w:keepLines w:val="0"/>
              <w:pageBreakBefore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8.00万元</w:t>
            </w:r>
          </w:p>
        </w:tc>
      </w:tr>
      <w:tr w14:paraId="03FD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tcBorders>
              <w:tl2br w:val="nil"/>
              <w:tr2bl w:val="nil"/>
            </w:tcBorders>
            <w:vAlign w:val="center"/>
          </w:tcPr>
          <w:p w14:paraId="033EB0BB">
            <w:pPr>
              <w:keepNext w:val="0"/>
              <w:keepLines w:val="0"/>
              <w:pageBreakBefore w:val="0"/>
              <w:kinsoku/>
              <w:wordWrap/>
              <w:overflowPunct/>
              <w:topLinePunct w:val="0"/>
              <w:bidi w:val="0"/>
              <w:adjustRightInd/>
              <w:snapToGrid/>
              <w:ind w:left="0" w:leftChars="0"/>
              <w:jc w:val="center"/>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项目背景</w:t>
            </w:r>
          </w:p>
        </w:tc>
        <w:tc>
          <w:tcPr>
            <w:tcW w:w="4283" w:type="pct"/>
            <w:gridSpan w:val="10"/>
            <w:tcBorders>
              <w:tl2br w:val="nil"/>
              <w:tr2bl w:val="nil"/>
            </w:tcBorders>
          </w:tcPr>
          <w:p w14:paraId="08534157">
            <w:pPr>
              <w:keepNext w:val="0"/>
              <w:keepLines w:val="0"/>
              <w:pageBreakBefore w:val="0"/>
              <w:kinsoku/>
              <w:wordWrap/>
              <w:overflowPunct/>
              <w:topLinePunct w:val="0"/>
              <w:bidi w:val="0"/>
              <w:adjustRightInd/>
              <w:snapToGrid/>
              <w:ind w:left="0" w:leftChars="0" w:firstLine="420" w:firstLineChars="200"/>
              <w:jc w:val="both"/>
              <w:textAlignment w:val="auto"/>
              <w:rPr>
                <w:rFonts w:hint="default" w:asciiTheme="minorEastAsia" w:hAnsiTheme="minorEastAsia" w:eastAsiaTheme="minorEastAsia"/>
                <w:color w:val="auto"/>
                <w:szCs w:val="21"/>
                <w:highlight w:val="none"/>
                <w:lang w:val="en-US" w:eastAsia="zh-CN"/>
              </w:rPr>
            </w:pPr>
            <w:r>
              <w:rPr>
                <w:rFonts w:hint="eastAsia" w:ascii="Times New Roman" w:hAnsi="Times New Roman" w:eastAsia="宋体" w:cs="Times New Roman"/>
                <w:color w:val="auto"/>
                <w:sz w:val="21"/>
                <w:szCs w:val="21"/>
                <w:highlight w:val="none"/>
                <w:lang w:val="en-US" w:eastAsia="zh-CN"/>
              </w:rPr>
              <w:t>根据《中华人民共和国网络安全法》《中华人民共和国密码法》和网络安全等级保护制度要求以及《商用密码应用安全性评估管理办法》有关规定，采购人拟委托具备商用密码应用安全性评估和网络安全等级保护测评资质的机构对采购人</w:t>
            </w:r>
            <w:r>
              <w:rPr>
                <w:rFonts w:hint="eastAsia" w:asciiTheme="minorEastAsia" w:hAnsiTheme="minorEastAsia" w:eastAsiaTheme="minorEastAsia"/>
                <w:color w:val="auto"/>
                <w:szCs w:val="21"/>
                <w:highlight w:val="none"/>
                <w:lang w:eastAsia="zh-CN"/>
              </w:rPr>
              <w:t>信息基础设施综合运维管理平台</w:t>
            </w:r>
            <w:r>
              <w:rPr>
                <w:rFonts w:hint="eastAsia" w:ascii="Times New Roman" w:hAnsi="Times New Roman" w:eastAsia="宋体" w:cs="Times New Roman"/>
                <w:color w:val="auto"/>
                <w:sz w:val="21"/>
                <w:szCs w:val="21"/>
                <w:highlight w:val="none"/>
                <w:lang w:val="en-US" w:eastAsia="zh-CN"/>
              </w:rPr>
              <w:t>开展商用密码应用安全性评估和等级保护测评，确保信息系统符合国家密码应用安全和等级保护有关要求</w:t>
            </w:r>
            <w:r>
              <w:rPr>
                <w:rFonts w:hint="eastAsia" w:asciiTheme="minorEastAsia" w:hAnsiTheme="minorEastAsia" w:eastAsiaTheme="minorEastAsia"/>
                <w:color w:val="auto"/>
                <w:szCs w:val="21"/>
                <w:highlight w:val="none"/>
                <w:lang w:val="en-US" w:eastAsia="zh-CN"/>
              </w:rPr>
              <w:t>。</w:t>
            </w:r>
          </w:p>
        </w:tc>
      </w:tr>
      <w:tr w14:paraId="01D5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tcBorders>
              <w:tl2br w:val="nil"/>
              <w:tr2bl w:val="nil"/>
            </w:tcBorders>
            <w:vAlign w:val="center"/>
          </w:tcPr>
          <w:p w14:paraId="0541E140">
            <w:pPr>
              <w:keepNext w:val="0"/>
              <w:keepLines w:val="0"/>
              <w:pageBreakBefore w:val="0"/>
              <w:kinsoku/>
              <w:wordWrap/>
              <w:overflowPunct/>
              <w:topLinePunct w:val="0"/>
              <w:bidi w:val="0"/>
              <w:adjustRightInd/>
              <w:snapToGrid/>
              <w:ind w:left="0" w:leftChars="0"/>
              <w:jc w:val="center"/>
              <w:textAlignment w:val="auto"/>
              <w:rPr>
                <w:rFonts w:asciiTheme="minorEastAsia" w:hAnsiTheme="minorEastAsia" w:eastAsiaTheme="minorEastAsia"/>
                <w:color w:val="auto"/>
                <w:szCs w:val="21"/>
                <w:highlight w:val="none"/>
              </w:rPr>
            </w:pPr>
            <w:r>
              <w:rPr>
                <w:rFonts w:hint="eastAsia" w:ascii="宋体" w:hAnsi="宋体" w:eastAsia="宋体" w:cs="宋体"/>
                <w:color w:val="auto"/>
                <w:highlight w:val="none"/>
              </w:rPr>
              <w:t>※</w:t>
            </w:r>
            <w:r>
              <w:rPr>
                <w:rFonts w:asciiTheme="minorEastAsia" w:hAnsiTheme="minorEastAsia" w:eastAsiaTheme="minorEastAsia"/>
                <w:color w:val="auto"/>
                <w:szCs w:val="21"/>
                <w:highlight w:val="none"/>
              </w:rPr>
              <w:t>采购项目品目</w:t>
            </w:r>
          </w:p>
        </w:tc>
        <w:tc>
          <w:tcPr>
            <w:tcW w:w="4283" w:type="pct"/>
            <w:gridSpan w:val="10"/>
            <w:tcBorders>
              <w:tl2br w:val="nil"/>
              <w:tr2bl w:val="nil"/>
            </w:tcBorders>
            <w:vAlign w:val="center"/>
          </w:tcPr>
          <w:p w14:paraId="6EB5DDB9">
            <w:pPr>
              <w:keepNext w:val="0"/>
              <w:keepLines w:val="0"/>
              <w:pageBreakBefore w:val="0"/>
              <w:kinsoku/>
              <w:wordWrap/>
              <w:overflowPunct/>
              <w:topLinePunct w:val="0"/>
              <w:bidi w:val="0"/>
              <w:adjustRightInd/>
              <w:snapToGrid/>
              <w:ind w:left="0" w:leftChars="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品目编码：</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r>
              <w:rPr>
                <w:rFonts w:hint="eastAsia" w:ascii="宋体" w:hAnsi="宋体" w:eastAsia="宋体" w:cs="宋体"/>
                <w:color w:val="auto"/>
                <w:highlight w:val="none"/>
                <w:u w:val="single"/>
              </w:rPr>
              <w:t>C16099900</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 xml:space="preserve">  品目名称：</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lang w:val="en-US" w:eastAsia="zh-CN"/>
              </w:rPr>
              <w:t>其他信息技术咨询</w:t>
            </w:r>
            <w:r>
              <w:rPr>
                <w:rFonts w:hint="eastAsia" w:asciiTheme="minorEastAsia" w:hAnsiTheme="minorEastAsia" w:eastAsiaTheme="minorEastAsia"/>
                <w:color w:val="auto"/>
                <w:szCs w:val="21"/>
                <w:highlight w:val="none"/>
                <w:u w:val="single"/>
              </w:rPr>
              <w:t xml:space="preserve">服务  </w:t>
            </w:r>
          </w:p>
          <w:p w14:paraId="4EB4A270">
            <w:pPr>
              <w:keepNext w:val="0"/>
              <w:keepLines w:val="0"/>
              <w:pageBreakBefore w:val="0"/>
              <w:kinsoku/>
              <w:wordWrap/>
              <w:overflowPunct/>
              <w:topLinePunct w:val="0"/>
              <w:bidi w:val="0"/>
              <w:adjustRightInd/>
              <w:snapToGrid/>
              <w:ind w:left="0" w:leftChars="0"/>
              <w:textAlignment w:val="auto"/>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（请参照《财政部关于印发〈政府采购品目分类目录〉的通知》（财库〔2022〕31号）填写）</w:t>
            </w:r>
          </w:p>
        </w:tc>
      </w:tr>
      <w:tr w14:paraId="37E2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vMerge w:val="restart"/>
            <w:tcBorders>
              <w:tl2br w:val="nil"/>
              <w:tr2bl w:val="nil"/>
            </w:tcBorders>
            <w:noWrap w:val="0"/>
            <w:vAlign w:val="center"/>
          </w:tcPr>
          <w:p w14:paraId="5310629C">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※政策扶持</w:t>
            </w:r>
          </w:p>
        </w:tc>
        <w:tc>
          <w:tcPr>
            <w:tcW w:w="382" w:type="pct"/>
            <w:vMerge w:val="restart"/>
            <w:tcBorders>
              <w:tl2br w:val="nil"/>
              <w:tr2bl w:val="nil"/>
            </w:tcBorders>
            <w:noWrap w:val="0"/>
            <w:vAlign w:val="center"/>
          </w:tcPr>
          <w:p w14:paraId="520DFB10">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是否适宜由中小企业提供</w:t>
            </w:r>
          </w:p>
        </w:tc>
        <w:tc>
          <w:tcPr>
            <w:tcW w:w="242" w:type="pct"/>
            <w:tcBorders>
              <w:tl2br w:val="nil"/>
              <w:tr2bl w:val="nil"/>
            </w:tcBorders>
            <w:noWrap w:val="0"/>
            <w:vAlign w:val="center"/>
          </w:tcPr>
          <w:p w14:paraId="6D94A878">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p>
        </w:tc>
        <w:tc>
          <w:tcPr>
            <w:tcW w:w="3659" w:type="pct"/>
            <w:gridSpan w:val="8"/>
            <w:tcBorders>
              <w:tl2br w:val="nil"/>
              <w:tr2bl w:val="nil"/>
            </w:tcBorders>
            <w:noWrap w:val="0"/>
            <w:vAlign w:val="center"/>
          </w:tcPr>
          <w:p w14:paraId="77FB2C18">
            <w:pPr>
              <w:keepNext w:val="0"/>
              <w:keepLines w:val="0"/>
              <w:pageBreakBefore w:val="0"/>
              <w:kinsoku/>
              <w:wordWrap/>
              <w:overflowPunct/>
              <w:topLinePunct w:val="0"/>
              <w:bidi w:val="0"/>
              <w:adjustRightInd/>
              <w:snapToGrid/>
              <w:ind w:left="0"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1.中小企业预留方式：</w:t>
            </w:r>
          </w:p>
          <w:p w14:paraId="39EDBA42">
            <w:pPr>
              <w:keepNext w:val="0"/>
              <w:keepLines w:val="0"/>
              <w:pageBreakBefore w:val="0"/>
              <w:kinsoku/>
              <w:wordWrap/>
              <w:overflowPunct/>
              <w:topLinePunct w:val="0"/>
              <w:bidi w:val="0"/>
              <w:adjustRightInd/>
              <w:snapToGrid/>
              <w:ind w:left="0" w:leftChars="0"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□整体预留</w:t>
            </w:r>
          </w:p>
          <w:p w14:paraId="5E36D10A">
            <w:pPr>
              <w:keepNext w:val="0"/>
              <w:keepLines w:val="0"/>
              <w:pageBreakBefore w:val="0"/>
              <w:kinsoku/>
              <w:wordWrap/>
              <w:overflowPunct/>
              <w:topLinePunct w:val="0"/>
              <w:bidi w:val="0"/>
              <w:adjustRightInd/>
              <w:snapToGrid/>
              <w:ind w:left="210" w:leftChars="10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部分预留（□采用联合体形式 □采用分包形式），中小企业合同金额应当不低于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%（≥40%），其中小微企业合同金额应当不低于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（≥70%）</w:t>
            </w:r>
          </w:p>
          <w:p w14:paraId="6F789213">
            <w:pPr>
              <w:keepNext w:val="0"/>
              <w:keepLines w:val="0"/>
              <w:pageBreakBefore w:val="0"/>
              <w:kinsoku/>
              <w:wordWrap/>
              <w:overflowPunct/>
              <w:topLinePunct w:val="0"/>
              <w:bidi w:val="0"/>
              <w:adjustRightInd/>
              <w:snapToGrid/>
              <w:ind w:left="0"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2.采购标的对应的中小企业划分标准所属行业：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（请参照《关于印发中小企业划型标准规定的通知（工信部联企业〔2011〕300号）》填写）</w:t>
            </w:r>
          </w:p>
        </w:tc>
      </w:tr>
      <w:tr w14:paraId="316E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vMerge w:val="continue"/>
            <w:tcBorders>
              <w:tl2br w:val="nil"/>
              <w:tr2bl w:val="nil"/>
            </w:tcBorders>
            <w:noWrap w:val="0"/>
            <w:vAlign w:val="center"/>
          </w:tcPr>
          <w:p w14:paraId="3BA5C4DA">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color w:val="auto"/>
                <w:szCs w:val="21"/>
                <w:highlight w:val="none"/>
              </w:rPr>
            </w:pPr>
          </w:p>
        </w:tc>
        <w:tc>
          <w:tcPr>
            <w:tcW w:w="382" w:type="pct"/>
            <w:vMerge w:val="continue"/>
            <w:tcBorders>
              <w:tl2br w:val="nil"/>
              <w:tr2bl w:val="nil"/>
            </w:tcBorders>
            <w:noWrap w:val="0"/>
            <w:vAlign w:val="center"/>
          </w:tcPr>
          <w:p w14:paraId="183C8E5A">
            <w:pPr>
              <w:keepNext w:val="0"/>
              <w:keepLines w:val="0"/>
              <w:pageBreakBefore w:val="0"/>
              <w:kinsoku/>
              <w:wordWrap/>
              <w:overflowPunct/>
              <w:topLinePunct w:val="0"/>
              <w:bidi w:val="0"/>
              <w:adjustRightInd/>
              <w:snapToGrid/>
              <w:ind w:left="0" w:leftChars="0"/>
              <w:textAlignment w:val="auto"/>
              <w:rPr>
                <w:rFonts w:hint="eastAsia" w:ascii="宋体" w:hAnsi="宋体" w:eastAsia="宋体" w:cs="宋体"/>
                <w:color w:val="auto"/>
                <w:szCs w:val="21"/>
                <w:highlight w:val="none"/>
              </w:rPr>
            </w:pPr>
          </w:p>
        </w:tc>
        <w:tc>
          <w:tcPr>
            <w:tcW w:w="242" w:type="pct"/>
            <w:tcBorders>
              <w:tl2br w:val="nil"/>
              <w:tr2bl w:val="nil"/>
            </w:tcBorders>
            <w:noWrap w:val="0"/>
            <w:vAlign w:val="center"/>
          </w:tcPr>
          <w:p w14:paraId="6AFAF60C">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tc>
        <w:tc>
          <w:tcPr>
            <w:tcW w:w="3659" w:type="pct"/>
            <w:gridSpan w:val="8"/>
            <w:tcBorders>
              <w:tl2br w:val="nil"/>
              <w:tr2bl w:val="nil"/>
            </w:tcBorders>
            <w:noWrap w:val="0"/>
            <w:vAlign w:val="center"/>
          </w:tcPr>
          <w:p w14:paraId="2459DEA3">
            <w:pPr>
              <w:keepNext w:val="0"/>
              <w:keepLines w:val="0"/>
              <w:pageBreakBefore w:val="0"/>
              <w:kinsoku/>
              <w:wordWrap/>
              <w:overflowPunct/>
              <w:topLinePunct w:val="0"/>
              <w:bidi w:val="0"/>
              <w:adjustRightInd/>
              <w:snapToGrid/>
              <w:ind w:left="0"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1.小微企业价格扣除优惠：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10% </w:t>
            </w:r>
            <w:r>
              <w:rPr>
                <w:rFonts w:hint="eastAsia" w:ascii="宋体" w:hAnsi="宋体" w:eastAsia="宋体" w:cs="宋体"/>
                <w:color w:val="auto"/>
                <w:szCs w:val="21"/>
                <w:highlight w:val="none"/>
              </w:rPr>
              <w:t>（10%-20%间自主选择；联合体4%-6%间选择）</w:t>
            </w:r>
          </w:p>
          <w:p w14:paraId="00FD7186">
            <w:pPr>
              <w:keepNext w:val="0"/>
              <w:keepLines w:val="0"/>
              <w:pageBreakBefore w:val="0"/>
              <w:kinsoku/>
              <w:wordWrap/>
              <w:overflowPunct/>
              <w:topLinePunct w:val="0"/>
              <w:bidi w:val="0"/>
              <w:adjustRightInd/>
              <w:snapToGrid/>
              <w:ind w:left="0"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2.采购标的对应的中小企业划分标准所属行业：</w:t>
            </w:r>
            <w:r>
              <w:rPr>
                <w:rFonts w:hint="eastAsia" w:ascii="宋体" w:hAnsi="宋体" w:eastAsia="宋体" w:cs="宋体"/>
                <w:color w:val="auto"/>
                <w:szCs w:val="21"/>
                <w:highlight w:val="none"/>
                <w:u w:val="single"/>
              </w:rPr>
              <w:t xml:space="preserve"> </w:t>
            </w:r>
            <w:r>
              <w:rPr>
                <w:rFonts w:asciiTheme="minorEastAsia" w:hAnsiTheme="minorEastAsia" w:eastAsiaTheme="minorEastAsia"/>
                <w:b/>
                <w:bCs/>
                <w:color w:val="auto"/>
                <w:szCs w:val="21"/>
                <w:highlight w:val="none"/>
                <w:u w:val="single"/>
              </w:rPr>
              <w:t>软件和信息技术服务业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（请参照《关于印发中小企业划型标准规定的通知（工信部联企业〔2011〕300号）》填写）</w:t>
            </w:r>
          </w:p>
        </w:tc>
      </w:tr>
      <w:tr w14:paraId="7119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vMerge w:val="restart"/>
            <w:tcBorders>
              <w:tl2br w:val="nil"/>
              <w:tr2bl w:val="nil"/>
            </w:tcBorders>
            <w:vAlign w:val="center"/>
          </w:tcPr>
          <w:p w14:paraId="4FEB0140">
            <w:pPr>
              <w:keepNext w:val="0"/>
              <w:keepLines w:val="0"/>
              <w:pageBreakBefore w:val="0"/>
              <w:kinsoku/>
              <w:wordWrap/>
              <w:overflowPunct/>
              <w:topLinePunct w:val="0"/>
              <w:bidi w:val="0"/>
              <w:adjustRightInd/>
              <w:snapToGrid/>
              <w:ind w:left="0" w:leftChars="0"/>
              <w:jc w:val="center"/>
              <w:textAlignment w:val="auto"/>
              <w:rPr>
                <w:rFonts w:asciiTheme="minorEastAsia" w:hAnsiTheme="minorEastAsia" w:eastAsiaTheme="minorEastAsia"/>
                <w:color w:val="auto"/>
                <w:szCs w:val="21"/>
                <w:highlight w:val="none"/>
              </w:rPr>
            </w:pPr>
            <w:r>
              <w:rPr>
                <w:rFonts w:hint="eastAsia" w:ascii="宋体" w:hAnsi="宋体" w:eastAsia="宋体" w:cs="宋体"/>
                <w:color w:val="auto"/>
                <w:szCs w:val="21"/>
                <w:highlight w:val="none"/>
              </w:rPr>
              <w:t>※</w:t>
            </w:r>
            <w:r>
              <w:rPr>
                <w:rFonts w:asciiTheme="minorEastAsia" w:hAnsiTheme="minorEastAsia" w:eastAsiaTheme="minorEastAsia"/>
                <w:color w:val="auto"/>
                <w:szCs w:val="21"/>
                <w:highlight w:val="none"/>
              </w:rPr>
              <w:t>是否采用评定分离</w:t>
            </w:r>
          </w:p>
        </w:tc>
        <w:tc>
          <w:tcPr>
            <w:tcW w:w="382" w:type="pct"/>
            <w:vMerge w:val="restart"/>
            <w:tcBorders>
              <w:tl2br w:val="nil"/>
              <w:tr2bl w:val="nil"/>
            </w:tcBorders>
            <w:vAlign w:val="center"/>
          </w:tcPr>
          <w:p w14:paraId="25F806F6">
            <w:pPr>
              <w:keepNext w:val="0"/>
              <w:keepLines w:val="0"/>
              <w:pageBreakBefore w:val="0"/>
              <w:kinsoku/>
              <w:wordWrap/>
              <w:overflowPunct/>
              <w:topLinePunct w:val="0"/>
              <w:bidi w:val="0"/>
              <w:adjustRightInd/>
              <w:snapToGrid/>
              <w:ind w:left="0" w:leftChars="0"/>
              <w:textAlignment w:val="auto"/>
              <w:rPr>
                <w:rFonts w:asciiTheme="minorEastAsia" w:hAnsiTheme="minorEastAsia" w:eastAsiaTheme="minorEastAsia"/>
                <w:color w:val="auto"/>
                <w:szCs w:val="21"/>
                <w:highlight w:val="none"/>
              </w:rPr>
            </w:pPr>
            <w:r>
              <w:rPr>
                <w:rFonts w:hint="eastAsia" w:ascii="宋体" w:hAnsi="宋体" w:eastAsia="宋体" w:cs="宋体"/>
                <w:color w:val="auto"/>
                <w:szCs w:val="21"/>
                <w:highlight w:val="none"/>
              </w:rPr>
              <w:t>□</w:t>
            </w:r>
            <w:r>
              <w:rPr>
                <w:rFonts w:asciiTheme="minorEastAsia" w:hAnsiTheme="minorEastAsia" w:eastAsiaTheme="minorEastAsia"/>
                <w:color w:val="auto"/>
                <w:szCs w:val="21"/>
                <w:highlight w:val="none"/>
              </w:rPr>
              <w:t>是</w:t>
            </w:r>
          </w:p>
        </w:tc>
        <w:tc>
          <w:tcPr>
            <w:tcW w:w="1171" w:type="pct"/>
            <w:gridSpan w:val="3"/>
            <w:tcBorders>
              <w:tl2br w:val="nil"/>
              <w:tr2bl w:val="nil"/>
            </w:tcBorders>
            <w:vAlign w:val="center"/>
          </w:tcPr>
          <w:p w14:paraId="1A2572E9">
            <w:pPr>
              <w:keepNext w:val="0"/>
              <w:keepLines w:val="0"/>
              <w:pageBreakBefore w:val="0"/>
              <w:kinsoku/>
              <w:wordWrap/>
              <w:overflowPunct/>
              <w:topLinePunct w:val="0"/>
              <w:bidi w:val="0"/>
              <w:adjustRightInd/>
              <w:snapToGrid/>
              <w:ind w:left="0" w:leftChars="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评标方法</w:t>
            </w:r>
          </w:p>
        </w:tc>
        <w:tc>
          <w:tcPr>
            <w:tcW w:w="2729" w:type="pct"/>
            <w:gridSpan w:val="6"/>
            <w:tcBorders>
              <w:tl2br w:val="nil"/>
              <w:tr2bl w:val="nil"/>
            </w:tcBorders>
            <w:vAlign w:val="center"/>
          </w:tcPr>
          <w:p w14:paraId="4A550CA0">
            <w:pPr>
              <w:keepNext w:val="0"/>
              <w:keepLines w:val="0"/>
              <w:pageBreakBefore w:val="0"/>
              <w:kinsoku/>
              <w:wordWrap/>
              <w:overflowPunct/>
              <w:topLinePunct w:val="0"/>
              <w:bidi w:val="0"/>
              <w:adjustRightInd/>
              <w:snapToGrid/>
              <w:ind w:left="0" w:leftChars="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□综合评分法</w:t>
            </w:r>
          </w:p>
        </w:tc>
      </w:tr>
      <w:tr w14:paraId="05CC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vMerge w:val="continue"/>
            <w:tcBorders>
              <w:tl2br w:val="nil"/>
              <w:tr2bl w:val="nil"/>
            </w:tcBorders>
            <w:vAlign w:val="center"/>
          </w:tcPr>
          <w:p w14:paraId="63614376">
            <w:pPr>
              <w:keepNext w:val="0"/>
              <w:keepLines w:val="0"/>
              <w:pageBreakBefore w:val="0"/>
              <w:kinsoku/>
              <w:wordWrap/>
              <w:overflowPunct/>
              <w:topLinePunct w:val="0"/>
              <w:bidi w:val="0"/>
              <w:adjustRightInd/>
              <w:snapToGrid/>
              <w:ind w:left="0" w:leftChars="0"/>
              <w:jc w:val="center"/>
              <w:textAlignment w:val="auto"/>
              <w:rPr>
                <w:rFonts w:asciiTheme="minorEastAsia" w:hAnsiTheme="minorEastAsia" w:eastAsiaTheme="minorEastAsia"/>
                <w:color w:val="auto"/>
                <w:szCs w:val="21"/>
                <w:highlight w:val="none"/>
              </w:rPr>
            </w:pPr>
          </w:p>
        </w:tc>
        <w:tc>
          <w:tcPr>
            <w:tcW w:w="382" w:type="pct"/>
            <w:vMerge w:val="continue"/>
            <w:tcBorders>
              <w:tl2br w:val="nil"/>
              <w:tr2bl w:val="nil"/>
            </w:tcBorders>
            <w:vAlign w:val="center"/>
          </w:tcPr>
          <w:p w14:paraId="74B7D9BB">
            <w:pPr>
              <w:keepNext w:val="0"/>
              <w:keepLines w:val="0"/>
              <w:pageBreakBefore w:val="0"/>
              <w:kinsoku/>
              <w:wordWrap/>
              <w:overflowPunct/>
              <w:topLinePunct w:val="0"/>
              <w:bidi w:val="0"/>
              <w:adjustRightInd/>
              <w:snapToGrid/>
              <w:ind w:left="0" w:leftChars="0"/>
              <w:textAlignment w:val="auto"/>
              <w:rPr>
                <w:rFonts w:asciiTheme="minorEastAsia" w:hAnsiTheme="minorEastAsia" w:eastAsiaTheme="minorEastAsia"/>
                <w:color w:val="auto"/>
                <w:szCs w:val="21"/>
                <w:highlight w:val="none"/>
              </w:rPr>
            </w:pPr>
          </w:p>
        </w:tc>
        <w:tc>
          <w:tcPr>
            <w:tcW w:w="1171" w:type="pct"/>
            <w:gridSpan w:val="3"/>
            <w:tcBorders>
              <w:tl2br w:val="nil"/>
              <w:tr2bl w:val="nil"/>
            </w:tcBorders>
            <w:vAlign w:val="center"/>
          </w:tcPr>
          <w:p w14:paraId="4C4F83B9">
            <w:pPr>
              <w:keepNext w:val="0"/>
              <w:keepLines w:val="0"/>
              <w:pageBreakBefore w:val="0"/>
              <w:kinsoku/>
              <w:wordWrap/>
              <w:overflowPunct/>
              <w:topLinePunct w:val="0"/>
              <w:bidi w:val="0"/>
              <w:adjustRightInd/>
              <w:snapToGrid/>
              <w:ind w:left="0" w:leftChars="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定标方法</w:t>
            </w:r>
          </w:p>
        </w:tc>
        <w:tc>
          <w:tcPr>
            <w:tcW w:w="2729" w:type="pct"/>
            <w:gridSpan w:val="6"/>
            <w:tcBorders>
              <w:tl2br w:val="nil"/>
              <w:tr2bl w:val="nil"/>
            </w:tcBorders>
            <w:vAlign w:val="center"/>
          </w:tcPr>
          <w:p w14:paraId="5EBE987E">
            <w:pPr>
              <w:keepNext w:val="0"/>
              <w:keepLines w:val="0"/>
              <w:pageBreakBefore w:val="0"/>
              <w:kinsoku/>
              <w:wordWrap/>
              <w:overflowPunct/>
              <w:topLinePunct w:val="0"/>
              <w:bidi w:val="0"/>
              <w:adjustRightInd/>
              <w:snapToGrid/>
              <w:ind w:left="0" w:leftChars="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□自定法</w:t>
            </w:r>
          </w:p>
        </w:tc>
      </w:tr>
      <w:tr w14:paraId="6C01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vMerge w:val="continue"/>
            <w:tcBorders>
              <w:tl2br w:val="nil"/>
              <w:tr2bl w:val="nil"/>
            </w:tcBorders>
            <w:vAlign w:val="center"/>
          </w:tcPr>
          <w:p w14:paraId="3EC18A91">
            <w:pPr>
              <w:keepNext w:val="0"/>
              <w:keepLines w:val="0"/>
              <w:pageBreakBefore w:val="0"/>
              <w:kinsoku/>
              <w:wordWrap/>
              <w:overflowPunct/>
              <w:topLinePunct w:val="0"/>
              <w:bidi w:val="0"/>
              <w:adjustRightInd/>
              <w:snapToGrid/>
              <w:ind w:left="0" w:leftChars="0"/>
              <w:jc w:val="center"/>
              <w:textAlignment w:val="auto"/>
              <w:rPr>
                <w:rFonts w:asciiTheme="minorEastAsia" w:hAnsiTheme="minorEastAsia" w:eastAsiaTheme="minorEastAsia"/>
                <w:color w:val="auto"/>
                <w:szCs w:val="21"/>
                <w:highlight w:val="none"/>
              </w:rPr>
            </w:pPr>
          </w:p>
        </w:tc>
        <w:tc>
          <w:tcPr>
            <w:tcW w:w="2095" w:type="pct"/>
            <w:gridSpan w:val="6"/>
            <w:tcBorders>
              <w:tl2br w:val="nil"/>
              <w:tr2bl w:val="nil"/>
            </w:tcBorders>
            <w:vAlign w:val="center"/>
          </w:tcPr>
          <w:p w14:paraId="2CDEC688">
            <w:pPr>
              <w:keepNext w:val="0"/>
              <w:keepLines w:val="0"/>
              <w:pageBreakBefore w:val="0"/>
              <w:kinsoku/>
              <w:wordWrap/>
              <w:overflowPunct/>
              <w:topLinePunct w:val="0"/>
              <w:bidi w:val="0"/>
              <w:adjustRightInd/>
              <w:snapToGrid/>
              <w:ind w:left="0" w:leftChars="0"/>
              <w:textAlignment w:val="auto"/>
              <w:rPr>
                <w:rFonts w:asciiTheme="minorEastAsia" w:hAnsiTheme="minorEastAsia" w:eastAsiaTheme="minorEastAsia"/>
                <w:color w:val="auto"/>
                <w:szCs w:val="21"/>
                <w:highlight w:val="none"/>
              </w:rPr>
            </w:pPr>
            <w:r>
              <w:rPr>
                <w:rFonts w:hint="eastAsia" w:ascii="宋体" w:hAnsi="宋体" w:eastAsia="宋体" w:cs="宋体"/>
                <w:color w:val="auto"/>
                <w:szCs w:val="21"/>
                <w:highlight w:val="none"/>
                <w:lang w:eastAsia="zh-CN"/>
              </w:rPr>
              <w:t>☑</w:t>
            </w:r>
            <w:r>
              <w:rPr>
                <w:rFonts w:asciiTheme="minorEastAsia" w:hAnsiTheme="minorEastAsia" w:eastAsiaTheme="minorEastAsia"/>
                <w:color w:val="auto"/>
                <w:szCs w:val="21"/>
                <w:highlight w:val="none"/>
              </w:rPr>
              <w:t>否</w:t>
            </w:r>
          </w:p>
        </w:tc>
        <w:tc>
          <w:tcPr>
            <w:tcW w:w="621" w:type="pct"/>
            <w:gridSpan w:val="2"/>
            <w:tcBorders>
              <w:tl2br w:val="nil"/>
              <w:tr2bl w:val="nil"/>
            </w:tcBorders>
            <w:vAlign w:val="center"/>
          </w:tcPr>
          <w:p w14:paraId="7FF18286">
            <w:pPr>
              <w:keepNext w:val="0"/>
              <w:keepLines w:val="0"/>
              <w:pageBreakBefore w:val="0"/>
              <w:kinsoku/>
              <w:wordWrap/>
              <w:overflowPunct/>
              <w:topLinePunct w:val="0"/>
              <w:bidi w:val="0"/>
              <w:adjustRightInd/>
              <w:snapToGrid/>
              <w:ind w:left="0" w:leftChars="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评标方法</w:t>
            </w:r>
          </w:p>
        </w:tc>
        <w:tc>
          <w:tcPr>
            <w:tcW w:w="1567" w:type="pct"/>
            <w:gridSpan w:val="2"/>
            <w:tcBorders>
              <w:tl2br w:val="nil"/>
              <w:tr2bl w:val="nil"/>
            </w:tcBorders>
            <w:vAlign w:val="center"/>
          </w:tcPr>
          <w:p w14:paraId="57FB4402">
            <w:pPr>
              <w:keepNext w:val="0"/>
              <w:keepLines w:val="0"/>
              <w:pageBreakBefore w:val="0"/>
              <w:kinsoku/>
              <w:wordWrap/>
              <w:overflowPunct/>
              <w:topLinePunct w:val="0"/>
              <w:bidi w:val="0"/>
              <w:adjustRightInd/>
              <w:snapToGrid/>
              <w:ind w:left="0" w:leftChars="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sym w:font="Wingdings 2" w:char="0052"/>
            </w:r>
            <w:r>
              <w:rPr>
                <w:rFonts w:asciiTheme="minorEastAsia" w:hAnsiTheme="minorEastAsia" w:eastAsiaTheme="minorEastAsia"/>
                <w:color w:val="auto"/>
                <w:szCs w:val="21"/>
                <w:highlight w:val="none"/>
              </w:rPr>
              <w:t>综合评分法  □最低价法</w:t>
            </w:r>
          </w:p>
        </w:tc>
      </w:tr>
      <w:tr w14:paraId="0131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tcBorders>
              <w:tl2br w:val="nil"/>
              <w:tr2bl w:val="nil"/>
            </w:tcBorders>
            <w:vAlign w:val="center"/>
          </w:tcPr>
          <w:p w14:paraId="7D121265">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※履约担保</w:t>
            </w:r>
          </w:p>
        </w:tc>
        <w:tc>
          <w:tcPr>
            <w:tcW w:w="4283" w:type="pct"/>
            <w:gridSpan w:val="10"/>
            <w:tcBorders>
              <w:tl2br w:val="nil"/>
              <w:tr2bl w:val="nil"/>
            </w:tcBorders>
            <w:vAlign w:val="center"/>
          </w:tcPr>
          <w:p w14:paraId="48DA5F3B">
            <w:pPr>
              <w:keepNext w:val="0"/>
              <w:keepLines w:val="0"/>
              <w:pageBreakBefore w:val="0"/>
              <w:kinsoku/>
              <w:wordWrap/>
              <w:overflowPunct/>
              <w:topLinePunct w:val="0"/>
              <w:bidi w:val="0"/>
              <w:adjustRightInd/>
              <w:snapToGrid/>
              <w:ind w:left="0" w:leftChars="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 xml:space="preserve"> 不需要</w:t>
            </w:r>
          </w:p>
          <w:p w14:paraId="4239D9CC">
            <w:pPr>
              <w:keepNext w:val="0"/>
              <w:keepLines w:val="0"/>
              <w:pageBreakBefore w:val="0"/>
              <w:kinsoku/>
              <w:wordWrap/>
              <w:overflowPunct/>
              <w:topLinePunct w:val="0"/>
              <w:bidi w:val="0"/>
              <w:adjustRightInd/>
              <w:snapToGrid/>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Cs w:val="21"/>
                <w:highlight w:val="none"/>
              </w:rPr>
              <w:t>□ 需要，合同金额的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%（≤10%），投标供应商自主选择以支票、汇票、本票、保函</w:t>
            </w:r>
            <w:r>
              <w:rPr>
                <w:rFonts w:hint="eastAsia" w:ascii="宋体" w:hAnsi="宋体" w:eastAsia="宋体" w:cs="宋体"/>
                <w:color w:val="auto"/>
                <w:szCs w:val="21"/>
                <w:highlight w:val="none"/>
              </w:rPr>
              <w:t>等非现金形式缴纳或提交。履约保证金在中标人履行完成合同约定权利义务事项在合同期满之日起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日内按原方式退还，不计利息。采购人逾期退还履约保证金的，向中标人每日偿付履约保证金的0.5‰的利息。因中标人原因而未能达到</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验收标准或验收不通过的，履约保证金不予退还。</w:t>
            </w:r>
          </w:p>
        </w:tc>
      </w:tr>
      <w:tr w14:paraId="3AF2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tcBorders>
              <w:tl2br w:val="nil"/>
              <w:tr2bl w:val="nil"/>
            </w:tcBorders>
            <w:vAlign w:val="center"/>
          </w:tcPr>
          <w:p w14:paraId="1917C34F">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※演示要求</w:t>
            </w:r>
          </w:p>
        </w:tc>
        <w:tc>
          <w:tcPr>
            <w:tcW w:w="4283" w:type="pct"/>
            <w:gridSpan w:val="10"/>
            <w:tcBorders>
              <w:tl2br w:val="nil"/>
              <w:tr2bl w:val="nil"/>
            </w:tcBorders>
            <w:vAlign w:val="center"/>
          </w:tcPr>
          <w:p w14:paraId="41A7B29D">
            <w:pPr>
              <w:keepNext w:val="0"/>
              <w:keepLines w:val="0"/>
              <w:pageBreakBefore w:val="0"/>
              <w:kinsoku/>
              <w:wordWrap/>
              <w:overflowPunct/>
              <w:topLinePunct w:val="0"/>
              <w:bidi w:val="0"/>
              <w:adjustRightInd/>
              <w:snapToGrid/>
              <w:ind w:left="0" w:leftChars="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有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w:t>
            </w:r>
          </w:p>
        </w:tc>
      </w:tr>
      <w:tr w14:paraId="16C8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tcBorders>
              <w:tl2br w:val="nil"/>
              <w:tr2bl w:val="nil"/>
            </w:tcBorders>
            <w:vAlign w:val="center"/>
          </w:tcPr>
          <w:p w14:paraId="487E7B13">
            <w:pPr>
              <w:keepNext w:val="0"/>
              <w:keepLines w:val="0"/>
              <w:pageBreakBefore w:val="0"/>
              <w:kinsoku/>
              <w:wordWrap/>
              <w:overflowPunct/>
              <w:topLinePunct w:val="0"/>
              <w:bidi w:val="0"/>
              <w:adjustRightInd/>
              <w:snapToGrid/>
              <w:ind w:left="0" w:leftChars="0"/>
              <w:jc w:val="center"/>
              <w:textAlignment w:val="auto"/>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投标人</w:t>
            </w:r>
          </w:p>
          <w:p w14:paraId="2A43D2C7">
            <w:pPr>
              <w:keepNext w:val="0"/>
              <w:keepLines w:val="0"/>
              <w:pageBreakBefore w:val="0"/>
              <w:kinsoku/>
              <w:wordWrap/>
              <w:overflowPunct/>
              <w:topLinePunct w:val="0"/>
              <w:bidi w:val="0"/>
              <w:adjustRightInd/>
              <w:snapToGrid/>
              <w:ind w:left="0" w:leftChars="0"/>
              <w:jc w:val="center"/>
              <w:textAlignment w:val="auto"/>
              <w:rPr>
                <w:rFonts w:asciiTheme="minorEastAsia" w:hAnsiTheme="minorEastAsia" w:eastAsiaTheme="minorEastAsia"/>
                <w:color w:val="auto"/>
                <w:szCs w:val="21"/>
                <w:highlight w:val="none"/>
              </w:rPr>
            </w:pPr>
            <w:r>
              <w:rPr>
                <w:rFonts w:cs="宋体" w:asciiTheme="minorEastAsia" w:hAnsiTheme="minorEastAsia" w:eastAsiaTheme="minorEastAsia"/>
                <w:color w:val="auto"/>
                <w:kern w:val="0"/>
                <w:szCs w:val="21"/>
                <w:highlight w:val="none"/>
              </w:rPr>
              <w:t>资质要求</w:t>
            </w:r>
          </w:p>
        </w:tc>
        <w:tc>
          <w:tcPr>
            <w:tcW w:w="4283" w:type="pct"/>
            <w:gridSpan w:val="10"/>
            <w:tcBorders>
              <w:tl2br w:val="nil"/>
              <w:tr2bl w:val="nil"/>
            </w:tcBorders>
            <w:vAlign w:val="top"/>
          </w:tcPr>
          <w:p w14:paraId="23583895">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一般资质要求</w:t>
            </w:r>
          </w:p>
          <w:p w14:paraId="381BB006">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1.具有独立法人资格或是具有独立承担民事责任能力的其它组织（提供营业执照或事业单位法人证书等证明资料扫描件，原件备查）；</w:t>
            </w:r>
          </w:p>
          <w:p w14:paraId="7243EF75">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本项目</w:t>
            </w:r>
            <w:r>
              <w:rPr>
                <w:rFonts w:hint="eastAsia" w:ascii="宋体" w:hAnsi="宋体" w:eastAsia="宋体" w:cs="宋体"/>
                <w:color w:val="auto"/>
                <w:kern w:val="0"/>
                <w:szCs w:val="21"/>
                <w:highlight w:val="none"/>
              </w:rPr>
              <w:t>不接受联合体投标，不接受投标人选用进口产品参与投标（由供应商在《政府采购投标及履约承诺函》中作出声明）；</w:t>
            </w:r>
          </w:p>
          <w:p w14:paraId="2BC01F03">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3.参与</w:t>
            </w:r>
            <w:r>
              <w:rPr>
                <w:rFonts w:hint="eastAsia" w:ascii="宋体" w:hAnsi="宋体" w:eastAsia="宋体" w:cs="宋体"/>
                <w:color w:val="auto"/>
                <w:kern w:val="0"/>
                <w:szCs w:val="21"/>
                <w:highlight w:val="none"/>
                <w:lang w:eastAsia="zh-CN"/>
              </w:rPr>
              <w:t>本项目</w:t>
            </w:r>
            <w:r>
              <w:rPr>
                <w:rFonts w:hint="eastAsia" w:ascii="宋体" w:hAnsi="宋体" w:eastAsia="宋体" w:cs="宋体"/>
                <w:color w:val="auto"/>
                <w:kern w:val="0"/>
                <w:szCs w:val="21"/>
                <w:highlight w:val="none"/>
              </w:rPr>
              <w:t>政府采购活动时不存在被有关部门禁止参与政府采购活动且在有效期内的情况（由供应商在《政府采购投标及履约承诺函》中作出声明）；</w:t>
            </w:r>
          </w:p>
          <w:p w14:paraId="6B0A597C">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4.具备《中华人民共和国政府采购法》第二十二条的条件（由供应商在《政府采购投标及履约承诺函》中作出声明）；</w:t>
            </w:r>
          </w:p>
          <w:p w14:paraId="315AC15F">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5.未被列入失信被执行人、重大税收违法案件当事人名单（重大税收违法失信主体）、政府采购严重违法失信行为记录名单（由供应商在《政府采购投标及履约承诺函》中作出声明）；</w:t>
            </w:r>
          </w:p>
          <w:p w14:paraId="749EFBA9">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3B511FE1">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注：（1）“信用中国”、“中国政府采购网”、“深圳信用网”以及“深圳市政府采购监管网”为供应商信用信息的查询渠道，相关信息以开标当日的查询结果为准；（2）供应商投标（上传投标文件）必须先行办理注册手续，具体请按照本公告“六、其他补充事宜”相关内容指引办理。</w:t>
            </w:r>
          </w:p>
          <w:p w14:paraId="0A001EBF">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auto"/>
                <w:kern w:val="0"/>
                <w:szCs w:val="21"/>
                <w:highlight w:val="none"/>
              </w:rPr>
            </w:pPr>
          </w:p>
        </w:tc>
      </w:tr>
      <w:tr w14:paraId="5B74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tcBorders>
              <w:tl2br w:val="nil"/>
              <w:tr2bl w:val="nil"/>
            </w:tcBorders>
            <w:vAlign w:val="center"/>
          </w:tcPr>
          <w:p w14:paraId="5EDE9C24">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※采购标的</w:t>
            </w:r>
          </w:p>
        </w:tc>
        <w:tc>
          <w:tcPr>
            <w:tcW w:w="4283" w:type="pct"/>
            <w:gridSpan w:val="10"/>
            <w:tcBorders>
              <w:tl2br w:val="nil"/>
              <w:tr2bl w:val="nil"/>
            </w:tcBorders>
          </w:tcPr>
          <w:tbl>
            <w:tblPr>
              <w:tblStyle w:val="24"/>
              <w:tblW w:w="7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973"/>
              <w:gridCol w:w="1725"/>
              <w:gridCol w:w="810"/>
              <w:gridCol w:w="1320"/>
              <w:gridCol w:w="1275"/>
              <w:gridCol w:w="1165"/>
            </w:tblGrid>
            <w:tr w14:paraId="0332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Align w:val="center"/>
                </w:tcPr>
                <w:p w14:paraId="6A1FAFF3">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highlight w:val="none"/>
                      <w:lang w:val="en-US" w:eastAsia="zh-CN"/>
                    </w:rPr>
                    <w:t>序号</w:t>
                  </w:r>
                </w:p>
              </w:tc>
              <w:tc>
                <w:tcPr>
                  <w:tcW w:w="973" w:type="dxa"/>
                  <w:vAlign w:val="center"/>
                </w:tcPr>
                <w:p w14:paraId="74C1D629">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highlight w:val="none"/>
                      <w:lang w:val="en-US" w:eastAsia="zh-CN"/>
                    </w:rPr>
                    <w:t>采购计划编号</w:t>
                  </w:r>
                </w:p>
              </w:tc>
              <w:tc>
                <w:tcPr>
                  <w:tcW w:w="1725" w:type="dxa"/>
                  <w:vAlign w:val="center"/>
                </w:tcPr>
                <w:p w14:paraId="028A0780">
                  <w:pPr>
                    <w:keepNext w:val="0"/>
                    <w:keepLines w:val="0"/>
                    <w:pageBreakBefore w:val="0"/>
                    <w:kinsoku/>
                    <w:wordWrap/>
                    <w:overflowPunct/>
                    <w:topLinePunct w:val="0"/>
                    <w:bidi w:val="0"/>
                    <w:adjustRightInd/>
                    <w:snapToGrid/>
                    <w:ind w:left="0" w:leftChars="0"/>
                    <w:jc w:val="center"/>
                    <w:textAlignment w:val="auto"/>
                    <w:rPr>
                      <w:rFonts w:hint="eastAsia" w:cs="等线" w:asciiTheme="minorEastAsia" w:hAnsiTheme="minorEastAsia" w:eastAsiaTheme="minorEastAsia"/>
                      <w:b/>
                      <w:bCs/>
                      <w:color w:val="auto"/>
                      <w:kern w:val="2"/>
                      <w:sz w:val="21"/>
                      <w:szCs w:val="21"/>
                      <w:highlight w:val="none"/>
                      <w:lang w:val="en-US" w:eastAsia="zh-CN" w:bidi="ar-SA"/>
                    </w:rPr>
                  </w:pPr>
                  <w:r>
                    <w:rPr>
                      <w:rFonts w:asciiTheme="minorEastAsia" w:hAnsiTheme="minorEastAsia" w:eastAsiaTheme="minorEastAsia"/>
                      <w:b/>
                      <w:bCs/>
                      <w:color w:val="auto"/>
                      <w:szCs w:val="21"/>
                      <w:highlight w:val="none"/>
                    </w:rPr>
                    <w:t>服务名称</w:t>
                  </w:r>
                </w:p>
              </w:tc>
              <w:tc>
                <w:tcPr>
                  <w:tcW w:w="810" w:type="dxa"/>
                  <w:vAlign w:val="center"/>
                </w:tcPr>
                <w:p w14:paraId="0CCCB891">
                  <w:pPr>
                    <w:keepNext w:val="0"/>
                    <w:keepLines w:val="0"/>
                    <w:pageBreakBefore w:val="0"/>
                    <w:kinsoku/>
                    <w:wordWrap/>
                    <w:overflowPunct/>
                    <w:topLinePunct w:val="0"/>
                    <w:bidi w:val="0"/>
                    <w:adjustRightInd/>
                    <w:snapToGrid/>
                    <w:ind w:left="0" w:leftChars="0"/>
                    <w:jc w:val="center"/>
                    <w:textAlignment w:val="auto"/>
                    <w:rPr>
                      <w:rFonts w:hint="eastAsia" w:cs="等线" w:asciiTheme="minorEastAsia" w:hAnsiTheme="minorEastAsia" w:eastAsiaTheme="minorEastAsia"/>
                      <w:b/>
                      <w:bCs/>
                      <w:color w:val="auto"/>
                      <w:kern w:val="2"/>
                      <w:sz w:val="21"/>
                      <w:szCs w:val="21"/>
                      <w:highlight w:val="none"/>
                      <w:lang w:val="en-US" w:eastAsia="zh-CN" w:bidi="ar-SA"/>
                    </w:rPr>
                  </w:pPr>
                  <w:r>
                    <w:rPr>
                      <w:rFonts w:asciiTheme="minorEastAsia" w:hAnsiTheme="minorEastAsia" w:eastAsiaTheme="minorEastAsia"/>
                      <w:b/>
                      <w:bCs/>
                      <w:color w:val="auto"/>
                      <w:szCs w:val="21"/>
                      <w:highlight w:val="none"/>
                    </w:rPr>
                    <w:t>备注</w:t>
                  </w:r>
                </w:p>
              </w:tc>
              <w:tc>
                <w:tcPr>
                  <w:tcW w:w="1320" w:type="dxa"/>
                  <w:vAlign w:val="center"/>
                </w:tcPr>
                <w:p w14:paraId="47F08E0C">
                  <w:pPr>
                    <w:keepNext w:val="0"/>
                    <w:keepLines w:val="0"/>
                    <w:pageBreakBefore w:val="0"/>
                    <w:kinsoku/>
                    <w:wordWrap/>
                    <w:overflowPunct/>
                    <w:topLinePunct w:val="0"/>
                    <w:bidi w:val="0"/>
                    <w:adjustRightInd/>
                    <w:snapToGrid/>
                    <w:ind w:left="0" w:leftChars="0"/>
                    <w:jc w:val="center"/>
                    <w:textAlignment w:val="auto"/>
                    <w:rPr>
                      <w:rFonts w:hint="eastAsia" w:cs="等线" w:asciiTheme="minorEastAsia" w:hAnsiTheme="minorEastAsia" w:eastAsiaTheme="minorEastAsia"/>
                      <w:b/>
                      <w:bCs/>
                      <w:color w:val="auto"/>
                      <w:kern w:val="2"/>
                      <w:sz w:val="21"/>
                      <w:szCs w:val="21"/>
                      <w:highlight w:val="none"/>
                      <w:lang w:val="en-US" w:eastAsia="zh-CN" w:bidi="ar-SA"/>
                    </w:rPr>
                  </w:pPr>
                  <w:r>
                    <w:rPr>
                      <w:rFonts w:asciiTheme="minorEastAsia" w:hAnsiTheme="minorEastAsia" w:eastAsiaTheme="minorEastAsia"/>
                      <w:b/>
                      <w:bCs/>
                      <w:color w:val="auto"/>
                      <w:szCs w:val="21"/>
                      <w:highlight w:val="none"/>
                    </w:rPr>
                    <w:t>财政预算限额（元）</w:t>
                  </w:r>
                </w:p>
              </w:tc>
              <w:tc>
                <w:tcPr>
                  <w:tcW w:w="1275" w:type="dxa"/>
                  <w:vAlign w:val="center"/>
                </w:tcPr>
                <w:p w14:paraId="2BDB1612">
                  <w:pPr>
                    <w:keepNext w:val="0"/>
                    <w:keepLines w:val="0"/>
                    <w:pageBreakBefore w:val="0"/>
                    <w:kinsoku/>
                    <w:wordWrap/>
                    <w:overflowPunct/>
                    <w:topLinePunct w:val="0"/>
                    <w:bidi w:val="0"/>
                    <w:adjustRightInd/>
                    <w:snapToGrid/>
                    <w:ind w:left="0" w:leftChars="0"/>
                    <w:jc w:val="center"/>
                    <w:textAlignment w:val="auto"/>
                    <w:rPr>
                      <w:rFonts w:hint="eastAsia" w:cs="等线" w:asciiTheme="minorEastAsia" w:hAnsiTheme="minorEastAsia" w:eastAsiaTheme="minorEastAsia"/>
                      <w:b/>
                      <w:bCs/>
                      <w:color w:val="auto"/>
                      <w:kern w:val="2"/>
                      <w:sz w:val="21"/>
                      <w:szCs w:val="21"/>
                      <w:highlight w:val="none"/>
                      <w:lang w:val="en-US" w:eastAsia="zh-CN" w:bidi="ar-SA"/>
                    </w:rPr>
                  </w:pPr>
                  <w:r>
                    <w:rPr>
                      <w:rFonts w:asciiTheme="minorEastAsia" w:hAnsiTheme="minorEastAsia" w:eastAsiaTheme="minorEastAsia"/>
                      <w:b/>
                      <w:bCs/>
                      <w:color w:val="auto"/>
                      <w:szCs w:val="21"/>
                      <w:highlight w:val="none"/>
                    </w:rPr>
                    <w:t>最高投标限价（元）</w:t>
                  </w:r>
                </w:p>
              </w:tc>
              <w:tc>
                <w:tcPr>
                  <w:tcW w:w="1165" w:type="dxa"/>
                  <w:vAlign w:val="center"/>
                </w:tcPr>
                <w:p w14:paraId="404205BB">
                  <w:pPr>
                    <w:keepNext w:val="0"/>
                    <w:keepLines w:val="0"/>
                    <w:pageBreakBefore w:val="0"/>
                    <w:kinsoku/>
                    <w:wordWrap/>
                    <w:overflowPunct/>
                    <w:topLinePunct w:val="0"/>
                    <w:bidi w:val="0"/>
                    <w:adjustRightInd/>
                    <w:snapToGrid/>
                    <w:ind w:left="0" w:leftChars="0"/>
                    <w:jc w:val="center"/>
                    <w:textAlignment w:val="auto"/>
                    <w:rPr>
                      <w:rFonts w:hint="eastAsia" w:cs="等线" w:asciiTheme="minorEastAsia" w:hAnsiTheme="minorEastAsia" w:eastAsiaTheme="minorEastAsia"/>
                      <w:b/>
                      <w:bCs/>
                      <w:color w:val="auto"/>
                      <w:kern w:val="2"/>
                      <w:sz w:val="21"/>
                      <w:szCs w:val="21"/>
                      <w:highlight w:val="none"/>
                      <w:lang w:val="en-US" w:eastAsia="zh-CN" w:bidi="ar-SA"/>
                    </w:rPr>
                  </w:pPr>
                  <w:r>
                    <w:rPr>
                      <w:rFonts w:asciiTheme="minorEastAsia" w:hAnsiTheme="minorEastAsia" w:eastAsiaTheme="minorEastAsia"/>
                      <w:b/>
                      <w:bCs/>
                      <w:color w:val="auto"/>
                      <w:szCs w:val="21"/>
                      <w:highlight w:val="none"/>
                    </w:rPr>
                    <w:t>所属行业</w:t>
                  </w:r>
                </w:p>
              </w:tc>
            </w:tr>
            <w:tr w14:paraId="0136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Align w:val="center"/>
                </w:tcPr>
                <w:p w14:paraId="0819683D">
                  <w:pPr>
                    <w:keepNext w:val="0"/>
                    <w:keepLines w:val="0"/>
                    <w:pageBreakBefore w:val="0"/>
                    <w:kinsoku/>
                    <w:wordWrap/>
                    <w:overflowPunct/>
                    <w:topLinePunct w:val="0"/>
                    <w:bidi w:val="0"/>
                    <w:adjustRightInd/>
                    <w:snapToGrid/>
                    <w:ind w:left="0" w:leftChars="0"/>
                    <w:jc w:val="center"/>
                    <w:textAlignment w:val="auto"/>
                    <w:rPr>
                      <w:rFonts w:hint="eastAsia" w:cs="等线" w:asciiTheme="minorEastAsia" w:hAnsiTheme="minorEastAsia" w:eastAsiaTheme="minorEastAsia"/>
                      <w:color w:val="auto"/>
                      <w:kern w:val="2"/>
                      <w:sz w:val="21"/>
                      <w:szCs w:val="21"/>
                      <w:highlight w:val="none"/>
                      <w:lang w:val="en-US" w:eastAsia="zh-CN" w:bidi="ar-SA"/>
                    </w:rPr>
                  </w:pPr>
                  <w:r>
                    <w:rPr>
                      <w:rFonts w:asciiTheme="minorEastAsia" w:hAnsiTheme="minorEastAsia" w:eastAsiaTheme="minorEastAsia"/>
                      <w:color w:val="auto"/>
                      <w:szCs w:val="21"/>
                      <w:highlight w:val="none"/>
                    </w:rPr>
                    <w:t>1</w:t>
                  </w:r>
                </w:p>
              </w:tc>
              <w:tc>
                <w:tcPr>
                  <w:tcW w:w="973" w:type="dxa"/>
                  <w:vAlign w:val="center"/>
                </w:tcPr>
                <w:p w14:paraId="3134A8F8">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color w:val="auto"/>
                      <w:kern w:val="0"/>
                      <w:sz w:val="21"/>
                      <w:szCs w:val="21"/>
                      <w:highlight w:val="none"/>
                      <w:lang w:val="en-US" w:eastAsia="zh-CN" w:bidi="ar-SA"/>
                    </w:rPr>
                  </w:pPr>
                </w:p>
              </w:tc>
              <w:tc>
                <w:tcPr>
                  <w:tcW w:w="1725" w:type="dxa"/>
                  <w:vAlign w:val="center"/>
                </w:tcPr>
                <w:p w14:paraId="50A325BA">
                  <w:pPr>
                    <w:keepNext w:val="0"/>
                    <w:keepLines w:val="0"/>
                    <w:pageBreakBefore w:val="0"/>
                    <w:kinsoku/>
                    <w:wordWrap/>
                    <w:overflowPunct/>
                    <w:topLinePunct w:val="0"/>
                    <w:bidi w:val="0"/>
                    <w:adjustRightInd/>
                    <w:snapToGrid/>
                    <w:spacing w:line="240" w:lineRule="auto"/>
                    <w:ind w:left="0" w:leftChars="0"/>
                    <w:jc w:val="center"/>
                    <w:textAlignment w:val="auto"/>
                    <w:rPr>
                      <w:rFonts w:hint="eastAsia" w:ascii="宋体" w:hAnsi="宋体" w:cs="宋体" w:eastAsiaTheme="minorEastAsia"/>
                      <w:color w:val="auto"/>
                      <w:kern w:val="0"/>
                      <w:sz w:val="21"/>
                      <w:szCs w:val="21"/>
                      <w:highlight w:val="none"/>
                      <w:lang w:val="en-US" w:eastAsia="zh-CN" w:bidi="ar-SA"/>
                    </w:rPr>
                  </w:pPr>
                  <w:r>
                    <w:rPr>
                      <w:rFonts w:hint="eastAsia" w:asciiTheme="minorEastAsia" w:hAnsiTheme="minorEastAsia" w:eastAsiaTheme="minorEastAsia"/>
                      <w:color w:val="auto"/>
                      <w:szCs w:val="21"/>
                      <w:highlight w:val="none"/>
                      <w:lang w:eastAsia="zh-CN"/>
                    </w:rPr>
                    <w:t>信息基础设施综合运维管理平台（一期）项目安全测评服务</w:t>
                  </w:r>
                </w:p>
              </w:tc>
              <w:tc>
                <w:tcPr>
                  <w:tcW w:w="810" w:type="dxa"/>
                  <w:vAlign w:val="center"/>
                </w:tcPr>
                <w:p w14:paraId="53785BAA">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color w:val="auto"/>
                      <w:kern w:val="0"/>
                      <w:sz w:val="21"/>
                      <w:szCs w:val="21"/>
                      <w:highlight w:val="none"/>
                      <w:lang w:val="en-US" w:eastAsia="zh-CN" w:bidi="ar-SA"/>
                    </w:rPr>
                  </w:pPr>
                </w:p>
              </w:tc>
              <w:tc>
                <w:tcPr>
                  <w:tcW w:w="1320" w:type="dxa"/>
                  <w:vAlign w:val="center"/>
                </w:tcPr>
                <w:p w14:paraId="657364DB">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80,000.00</w:t>
                  </w:r>
                </w:p>
              </w:tc>
              <w:tc>
                <w:tcPr>
                  <w:tcW w:w="1275" w:type="dxa"/>
                  <w:vAlign w:val="center"/>
                </w:tcPr>
                <w:p w14:paraId="65A7865E">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80,000.00</w:t>
                  </w:r>
                </w:p>
              </w:tc>
              <w:tc>
                <w:tcPr>
                  <w:tcW w:w="1165" w:type="dxa"/>
                  <w:vAlign w:val="center"/>
                </w:tcPr>
                <w:p w14:paraId="4D6AC1C9">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软件和信息技术服务业</w:t>
                  </w:r>
                </w:p>
              </w:tc>
            </w:tr>
            <w:tr w14:paraId="3342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Align w:val="center"/>
                </w:tcPr>
                <w:p w14:paraId="63219C9F">
                  <w:pPr>
                    <w:keepNext w:val="0"/>
                    <w:keepLines w:val="0"/>
                    <w:pageBreakBefore w:val="0"/>
                    <w:kinsoku/>
                    <w:wordWrap/>
                    <w:overflowPunct/>
                    <w:topLinePunct w:val="0"/>
                    <w:bidi w:val="0"/>
                    <w:adjustRightInd/>
                    <w:snapToGrid/>
                    <w:ind w:left="0" w:leftChars="0"/>
                    <w:jc w:val="center"/>
                    <w:textAlignment w:val="auto"/>
                    <w:rPr>
                      <w:rFonts w:hint="eastAsia" w:cs="等线" w:asciiTheme="minorEastAsia" w:hAnsiTheme="minorEastAsia" w:eastAsiaTheme="minorEastAsia"/>
                      <w:color w:val="auto"/>
                      <w:kern w:val="2"/>
                      <w:sz w:val="21"/>
                      <w:szCs w:val="21"/>
                      <w:highlight w:val="none"/>
                      <w:lang w:val="en-US" w:eastAsia="zh-CN" w:bidi="ar-SA"/>
                    </w:rPr>
                  </w:pPr>
                  <w:r>
                    <w:rPr>
                      <w:rFonts w:asciiTheme="minorEastAsia" w:hAnsiTheme="minorEastAsia" w:eastAsiaTheme="minorEastAsia"/>
                      <w:color w:val="auto"/>
                      <w:szCs w:val="21"/>
                      <w:highlight w:val="none"/>
                    </w:rPr>
                    <w:t>2</w:t>
                  </w:r>
                </w:p>
              </w:tc>
              <w:tc>
                <w:tcPr>
                  <w:tcW w:w="973" w:type="dxa"/>
                  <w:vAlign w:val="center"/>
                </w:tcPr>
                <w:p w14:paraId="6283D083">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color w:val="auto"/>
                      <w:kern w:val="0"/>
                      <w:sz w:val="21"/>
                      <w:szCs w:val="21"/>
                      <w:highlight w:val="none"/>
                      <w:lang w:val="en-US" w:eastAsia="zh-CN" w:bidi="ar-SA"/>
                    </w:rPr>
                  </w:pPr>
                </w:p>
              </w:tc>
              <w:tc>
                <w:tcPr>
                  <w:tcW w:w="1725" w:type="dxa"/>
                </w:tcPr>
                <w:p w14:paraId="3B195533">
                  <w:pPr>
                    <w:keepNext w:val="0"/>
                    <w:keepLines w:val="0"/>
                    <w:pageBreakBefore w:val="0"/>
                    <w:kinsoku/>
                    <w:wordWrap/>
                    <w:overflowPunct/>
                    <w:topLinePunct w:val="0"/>
                    <w:bidi w:val="0"/>
                    <w:adjustRightInd/>
                    <w:snapToGrid/>
                    <w:textAlignment w:val="auto"/>
                    <w:rPr>
                      <w:rFonts w:hint="eastAsia" w:ascii="宋体" w:hAnsi="宋体" w:eastAsia="宋体" w:cs="宋体"/>
                      <w:color w:val="auto"/>
                      <w:kern w:val="0"/>
                      <w:szCs w:val="21"/>
                      <w:highlight w:val="none"/>
                      <w:vertAlign w:val="baseline"/>
                    </w:rPr>
                  </w:pPr>
                </w:p>
              </w:tc>
              <w:tc>
                <w:tcPr>
                  <w:tcW w:w="810" w:type="dxa"/>
                </w:tcPr>
                <w:p w14:paraId="220CFA2C">
                  <w:pPr>
                    <w:keepNext w:val="0"/>
                    <w:keepLines w:val="0"/>
                    <w:pageBreakBefore w:val="0"/>
                    <w:kinsoku/>
                    <w:wordWrap/>
                    <w:overflowPunct/>
                    <w:topLinePunct w:val="0"/>
                    <w:bidi w:val="0"/>
                    <w:adjustRightInd/>
                    <w:snapToGrid/>
                    <w:textAlignment w:val="auto"/>
                    <w:rPr>
                      <w:rFonts w:hint="eastAsia" w:ascii="宋体" w:hAnsi="宋体" w:eastAsia="宋体" w:cs="宋体"/>
                      <w:color w:val="auto"/>
                      <w:kern w:val="0"/>
                      <w:szCs w:val="21"/>
                      <w:highlight w:val="none"/>
                      <w:vertAlign w:val="baseline"/>
                    </w:rPr>
                  </w:pPr>
                </w:p>
              </w:tc>
              <w:tc>
                <w:tcPr>
                  <w:tcW w:w="1320" w:type="dxa"/>
                </w:tcPr>
                <w:p w14:paraId="2EE3C944">
                  <w:pPr>
                    <w:keepNext w:val="0"/>
                    <w:keepLines w:val="0"/>
                    <w:pageBreakBefore w:val="0"/>
                    <w:kinsoku/>
                    <w:wordWrap/>
                    <w:overflowPunct/>
                    <w:topLinePunct w:val="0"/>
                    <w:bidi w:val="0"/>
                    <w:adjustRightInd/>
                    <w:snapToGrid/>
                    <w:textAlignment w:val="auto"/>
                    <w:rPr>
                      <w:rFonts w:hint="eastAsia" w:ascii="宋体" w:hAnsi="宋体" w:eastAsia="宋体" w:cs="宋体"/>
                      <w:color w:val="auto"/>
                      <w:kern w:val="0"/>
                      <w:szCs w:val="21"/>
                      <w:highlight w:val="none"/>
                      <w:vertAlign w:val="baseline"/>
                    </w:rPr>
                  </w:pPr>
                </w:p>
              </w:tc>
              <w:tc>
                <w:tcPr>
                  <w:tcW w:w="1275" w:type="dxa"/>
                </w:tcPr>
                <w:p w14:paraId="36BB8232">
                  <w:pPr>
                    <w:keepNext w:val="0"/>
                    <w:keepLines w:val="0"/>
                    <w:pageBreakBefore w:val="0"/>
                    <w:kinsoku/>
                    <w:wordWrap/>
                    <w:overflowPunct/>
                    <w:topLinePunct w:val="0"/>
                    <w:bidi w:val="0"/>
                    <w:adjustRightInd/>
                    <w:snapToGrid/>
                    <w:textAlignment w:val="auto"/>
                    <w:rPr>
                      <w:rFonts w:hint="eastAsia" w:ascii="宋体" w:hAnsi="宋体" w:eastAsia="宋体" w:cs="宋体"/>
                      <w:color w:val="auto"/>
                      <w:kern w:val="0"/>
                      <w:szCs w:val="21"/>
                      <w:highlight w:val="none"/>
                      <w:vertAlign w:val="baseline"/>
                    </w:rPr>
                  </w:pPr>
                </w:p>
              </w:tc>
              <w:tc>
                <w:tcPr>
                  <w:tcW w:w="1165" w:type="dxa"/>
                </w:tcPr>
                <w:p w14:paraId="00DA9B77">
                  <w:pPr>
                    <w:keepNext w:val="0"/>
                    <w:keepLines w:val="0"/>
                    <w:pageBreakBefore w:val="0"/>
                    <w:kinsoku/>
                    <w:wordWrap/>
                    <w:overflowPunct/>
                    <w:topLinePunct w:val="0"/>
                    <w:bidi w:val="0"/>
                    <w:adjustRightInd/>
                    <w:snapToGrid/>
                    <w:textAlignment w:val="auto"/>
                    <w:rPr>
                      <w:rFonts w:hint="eastAsia" w:ascii="宋体" w:hAnsi="宋体" w:eastAsia="宋体" w:cs="宋体"/>
                      <w:color w:val="auto"/>
                      <w:kern w:val="0"/>
                      <w:szCs w:val="21"/>
                      <w:highlight w:val="none"/>
                      <w:vertAlign w:val="baseline"/>
                    </w:rPr>
                  </w:pPr>
                </w:p>
              </w:tc>
            </w:tr>
            <w:tr w14:paraId="3B10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Align w:val="center"/>
                </w:tcPr>
                <w:p w14:paraId="7FB71963">
                  <w:pPr>
                    <w:keepNext w:val="0"/>
                    <w:keepLines w:val="0"/>
                    <w:pageBreakBefore w:val="0"/>
                    <w:kinsoku/>
                    <w:wordWrap/>
                    <w:overflowPunct/>
                    <w:topLinePunct w:val="0"/>
                    <w:bidi w:val="0"/>
                    <w:adjustRightInd/>
                    <w:snapToGrid/>
                    <w:ind w:left="0" w:leftChars="0"/>
                    <w:jc w:val="center"/>
                    <w:textAlignment w:val="auto"/>
                    <w:rPr>
                      <w:rFonts w:hint="eastAsia" w:cs="等线" w:asciiTheme="minorEastAsia" w:hAnsiTheme="minorEastAsia" w:eastAsiaTheme="minorEastAsia"/>
                      <w:color w:val="auto"/>
                      <w:kern w:val="2"/>
                      <w:sz w:val="21"/>
                      <w:szCs w:val="21"/>
                      <w:highlight w:val="none"/>
                      <w:lang w:val="en-US" w:eastAsia="zh-CN" w:bidi="ar-SA"/>
                    </w:rPr>
                  </w:pPr>
                  <w:r>
                    <w:rPr>
                      <w:rFonts w:asciiTheme="minorEastAsia" w:hAnsiTheme="minorEastAsia" w:eastAsiaTheme="minorEastAsia"/>
                      <w:color w:val="auto"/>
                      <w:szCs w:val="21"/>
                      <w:highlight w:val="none"/>
                    </w:rPr>
                    <w:t>…</w:t>
                  </w:r>
                </w:p>
              </w:tc>
              <w:tc>
                <w:tcPr>
                  <w:tcW w:w="973" w:type="dxa"/>
                  <w:vAlign w:val="center"/>
                </w:tcPr>
                <w:p w14:paraId="147E8FCD">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color w:val="auto"/>
                      <w:kern w:val="0"/>
                      <w:sz w:val="21"/>
                      <w:szCs w:val="21"/>
                      <w:highlight w:val="none"/>
                      <w:lang w:val="en-US" w:eastAsia="zh-CN" w:bidi="ar-SA"/>
                    </w:rPr>
                  </w:pPr>
                </w:p>
              </w:tc>
              <w:tc>
                <w:tcPr>
                  <w:tcW w:w="1725" w:type="dxa"/>
                </w:tcPr>
                <w:p w14:paraId="778B91C5">
                  <w:pPr>
                    <w:keepNext w:val="0"/>
                    <w:keepLines w:val="0"/>
                    <w:pageBreakBefore w:val="0"/>
                    <w:kinsoku/>
                    <w:wordWrap/>
                    <w:overflowPunct/>
                    <w:topLinePunct w:val="0"/>
                    <w:bidi w:val="0"/>
                    <w:adjustRightInd/>
                    <w:snapToGrid/>
                    <w:textAlignment w:val="auto"/>
                    <w:rPr>
                      <w:rFonts w:hint="eastAsia" w:ascii="宋体" w:hAnsi="宋体" w:eastAsia="宋体" w:cs="宋体"/>
                      <w:color w:val="auto"/>
                      <w:kern w:val="0"/>
                      <w:szCs w:val="21"/>
                      <w:highlight w:val="none"/>
                      <w:vertAlign w:val="baseline"/>
                    </w:rPr>
                  </w:pPr>
                </w:p>
              </w:tc>
              <w:tc>
                <w:tcPr>
                  <w:tcW w:w="810" w:type="dxa"/>
                </w:tcPr>
                <w:p w14:paraId="267A3C4F">
                  <w:pPr>
                    <w:keepNext w:val="0"/>
                    <w:keepLines w:val="0"/>
                    <w:pageBreakBefore w:val="0"/>
                    <w:kinsoku/>
                    <w:wordWrap/>
                    <w:overflowPunct/>
                    <w:topLinePunct w:val="0"/>
                    <w:bidi w:val="0"/>
                    <w:adjustRightInd/>
                    <w:snapToGrid/>
                    <w:textAlignment w:val="auto"/>
                    <w:rPr>
                      <w:rFonts w:hint="eastAsia" w:ascii="宋体" w:hAnsi="宋体" w:eastAsia="宋体" w:cs="宋体"/>
                      <w:color w:val="auto"/>
                      <w:kern w:val="0"/>
                      <w:szCs w:val="21"/>
                      <w:highlight w:val="none"/>
                      <w:vertAlign w:val="baseline"/>
                    </w:rPr>
                  </w:pPr>
                </w:p>
              </w:tc>
              <w:tc>
                <w:tcPr>
                  <w:tcW w:w="1320" w:type="dxa"/>
                </w:tcPr>
                <w:p w14:paraId="7F851D18">
                  <w:pPr>
                    <w:keepNext w:val="0"/>
                    <w:keepLines w:val="0"/>
                    <w:pageBreakBefore w:val="0"/>
                    <w:kinsoku/>
                    <w:wordWrap/>
                    <w:overflowPunct/>
                    <w:topLinePunct w:val="0"/>
                    <w:bidi w:val="0"/>
                    <w:adjustRightInd/>
                    <w:snapToGrid/>
                    <w:textAlignment w:val="auto"/>
                    <w:rPr>
                      <w:rFonts w:hint="eastAsia" w:ascii="宋体" w:hAnsi="宋体" w:eastAsia="宋体" w:cs="宋体"/>
                      <w:color w:val="auto"/>
                      <w:kern w:val="0"/>
                      <w:szCs w:val="21"/>
                      <w:highlight w:val="none"/>
                      <w:vertAlign w:val="baseline"/>
                    </w:rPr>
                  </w:pPr>
                </w:p>
              </w:tc>
              <w:tc>
                <w:tcPr>
                  <w:tcW w:w="1275" w:type="dxa"/>
                </w:tcPr>
                <w:p w14:paraId="3C2C4B92">
                  <w:pPr>
                    <w:keepNext w:val="0"/>
                    <w:keepLines w:val="0"/>
                    <w:pageBreakBefore w:val="0"/>
                    <w:kinsoku/>
                    <w:wordWrap/>
                    <w:overflowPunct/>
                    <w:topLinePunct w:val="0"/>
                    <w:bidi w:val="0"/>
                    <w:adjustRightInd/>
                    <w:snapToGrid/>
                    <w:textAlignment w:val="auto"/>
                    <w:rPr>
                      <w:rFonts w:hint="eastAsia" w:ascii="宋体" w:hAnsi="宋体" w:eastAsia="宋体" w:cs="宋体"/>
                      <w:color w:val="auto"/>
                      <w:kern w:val="0"/>
                      <w:szCs w:val="21"/>
                      <w:highlight w:val="none"/>
                      <w:vertAlign w:val="baseline"/>
                    </w:rPr>
                  </w:pPr>
                </w:p>
              </w:tc>
              <w:tc>
                <w:tcPr>
                  <w:tcW w:w="1165" w:type="dxa"/>
                </w:tcPr>
                <w:p w14:paraId="1F506B7D">
                  <w:pPr>
                    <w:keepNext w:val="0"/>
                    <w:keepLines w:val="0"/>
                    <w:pageBreakBefore w:val="0"/>
                    <w:kinsoku/>
                    <w:wordWrap/>
                    <w:overflowPunct/>
                    <w:topLinePunct w:val="0"/>
                    <w:bidi w:val="0"/>
                    <w:adjustRightInd/>
                    <w:snapToGrid/>
                    <w:textAlignment w:val="auto"/>
                    <w:rPr>
                      <w:rFonts w:hint="eastAsia" w:ascii="宋体" w:hAnsi="宋体" w:eastAsia="宋体" w:cs="宋体"/>
                      <w:color w:val="auto"/>
                      <w:kern w:val="0"/>
                      <w:szCs w:val="21"/>
                      <w:highlight w:val="none"/>
                      <w:vertAlign w:val="baseline"/>
                    </w:rPr>
                  </w:pPr>
                </w:p>
              </w:tc>
            </w:tr>
          </w:tbl>
          <w:p w14:paraId="33822041">
            <w:pPr>
              <w:keepNext w:val="0"/>
              <w:keepLines w:val="0"/>
              <w:pageBreakBefore w:val="0"/>
              <w:kinsoku/>
              <w:wordWrap/>
              <w:overflowPunct/>
              <w:topLinePunct w:val="0"/>
              <w:bidi w:val="0"/>
              <w:adjustRightInd/>
              <w:snapToGrid/>
              <w:ind w:left="0" w:leftChars="0"/>
              <w:textAlignment w:val="auto"/>
              <w:rPr>
                <w:rFonts w:hint="eastAsia" w:ascii="宋体" w:hAnsi="宋体" w:eastAsia="宋体" w:cs="宋体"/>
                <w:color w:val="auto"/>
                <w:kern w:val="0"/>
                <w:szCs w:val="21"/>
                <w:highlight w:val="none"/>
              </w:rPr>
            </w:pPr>
          </w:p>
        </w:tc>
      </w:tr>
      <w:tr w14:paraId="1B6B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tcBorders>
              <w:tl2br w:val="nil"/>
              <w:tr2bl w:val="nil"/>
            </w:tcBorders>
            <w:vAlign w:val="center"/>
          </w:tcPr>
          <w:p w14:paraId="0C23E7DD">
            <w:pPr>
              <w:keepNext w:val="0"/>
              <w:keepLines w:val="0"/>
              <w:pageBreakBefore w:val="0"/>
              <w:kinsoku/>
              <w:wordWrap/>
              <w:overflowPunct/>
              <w:topLinePunct w:val="0"/>
              <w:bidi w:val="0"/>
              <w:adjustRightInd/>
              <w:snapToGrid/>
              <w:ind w:left="0" w:leftChars="0"/>
              <w:jc w:val="center"/>
              <w:textAlignment w:val="auto"/>
              <w:rPr>
                <w:rFonts w:cs="宋体" w:asciiTheme="minorEastAsia" w:hAnsiTheme="minorEastAsia" w:eastAsiaTheme="minorEastAsia"/>
                <w:color w:val="auto"/>
                <w:kern w:val="0"/>
                <w:szCs w:val="21"/>
                <w:highlight w:val="none"/>
              </w:rPr>
            </w:pPr>
            <w:r>
              <w:rPr>
                <w:rFonts w:hint="eastAsia" w:ascii="宋体" w:hAnsi="宋体" w:eastAsia="宋体" w:cs="宋体"/>
                <w:color w:val="auto"/>
                <w:kern w:val="0"/>
                <w:szCs w:val="21"/>
                <w:highlight w:val="none"/>
              </w:rPr>
              <w:t>※</w:t>
            </w:r>
            <w:r>
              <w:rPr>
                <w:rFonts w:cs="宋体" w:asciiTheme="minorEastAsia" w:hAnsiTheme="minorEastAsia" w:eastAsiaTheme="minorEastAsia"/>
                <w:color w:val="auto"/>
                <w:kern w:val="0"/>
                <w:szCs w:val="21"/>
                <w:highlight w:val="none"/>
              </w:rPr>
              <w:t>实质性</w:t>
            </w:r>
          </w:p>
          <w:p w14:paraId="08772D74">
            <w:pPr>
              <w:keepNext w:val="0"/>
              <w:keepLines w:val="0"/>
              <w:pageBreakBefore w:val="0"/>
              <w:kinsoku/>
              <w:wordWrap/>
              <w:overflowPunct/>
              <w:topLinePunct w:val="0"/>
              <w:bidi w:val="0"/>
              <w:adjustRightInd/>
              <w:snapToGrid/>
              <w:ind w:left="0" w:leftChars="0"/>
              <w:jc w:val="center"/>
              <w:textAlignment w:val="auto"/>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条款</w:t>
            </w:r>
          </w:p>
        </w:tc>
        <w:tc>
          <w:tcPr>
            <w:tcW w:w="4283" w:type="pct"/>
            <w:gridSpan w:val="10"/>
            <w:tcBorders>
              <w:tl2br w:val="nil"/>
              <w:tr2bl w:val="nil"/>
            </w:tcBorders>
          </w:tcPr>
          <w:tbl>
            <w:tblPr>
              <w:tblStyle w:val="24"/>
              <w:tblW w:w="7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6588"/>
            </w:tblGrid>
            <w:tr w14:paraId="504D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4734FAA9">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color w:val="auto"/>
                      <w:kern w:val="0"/>
                      <w:szCs w:val="21"/>
                      <w:highlight w:val="none"/>
                      <w:vertAlign w:val="baseline"/>
                    </w:rPr>
                  </w:pPr>
                  <w:r>
                    <w:rPr>
                      <w:rFonts w:asciiTheme="minorEastAsia" w:hAnsiTheme="minorEastAsia" w:eastAsiaTheme="minorEastAsia"/>
                      <w:b/>
                      <w:color w:val="auto"/>
                      <w:szCs w:val="21"/>
                      <w:highlight w:val="none"/>
                    </w:rPr>
                    <w:t>序号</w:t>
                  </w:r>
                </w:p>
              </w:tc>
              <w:tc>
                <w:tcPr>
                  <w:tcW w:w="6588" w:type="dxa"/>
                  <w:vAlign w:val="center"/>
                </w:tcPr>
                <w:p w14:paraId="53E4B553">
                  <w:pPr>
                    <w:keepNext w:val="0"/>
                    <w:keepLines w:val="0"/>
                    <w:pageBreakBefore w:val="0"/>
                    <w:kinsoku/>
                    <w:wordWrap/>
                    <w:overflowPunct/>
                    <w:topLinePunct w:val="0"/>
                    <w:bidi w:val="0"/>
                    <w:adjustRightInd/>
                    <w:snapToGrid/>
                    <w:ind w:left="0" w:leftChars="0" w:firstLine="3373" w:firstLineChars="1600"/>
                    <w:textAlignment w:val="auto"/>
                    <w:rPr>
                      <w:rFonts w:hint="eastAsia" w:ascii="宋体" w:hAnsi="宋体" w:eastAsia="宋体" w:cs="宋体"/>
                      <w:color w:val="auto"/>
                      <w:kern w:val="0"/>
                      <w:szCs w:val="21"/>
                      <w:highlight w:val="none"/>
                      <w:vertAlign w:val="baseline"/>
                    </w:rPr>
                  </w:pPr>
                  <w:r>
                    <w:rPr>
                      <w:rFonts w:asciiTheme="minorEastAsia" w:hAnsiTheme="minorEastAsia" w:eastAsiaTheme="minorEastAsia"/>
                      <w:b/>
                      <w:color w:val="auto"/>
                      <w:szCs w:val="21"/>
                      <w:highlight w:val="none"/>
                    </w:rPr>
                    <w:t>具体内容</w:t>
                  </w:r>
                </w:p>
              </w:tc>
            </w:tr>
            <w:tr w14:paraId="046F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1E627EA0">
                  <w:pPr>
                    <w:keepNext w:val="0"/>
                    <w:keepLines w:val="0"/>
                    <w:pageBreakBefore w:val="0"/>
                    <w:kinsoku/>
                    <w:wordWrap/>
                    <w:overflowPunct/>
                    <w:topLinePunct w:val="0"/>
                    <w:bidi w:val="0"/>
                    <w:adjustRightInd/>
                    <w:snapToGrid/>
                    <w:ind w:left="0" w:leftChars="0"/>
                    <w:jc w:val="center"/>
                    <w:textAlignment w:val="auto"/>
                    <w:rPr>
                      <w:rFonts w:hint="eastAsia" w:cs="等线" w:asciiTheme="minorEastAsia" w:hAnsiTheme="minorEastAsia" w:eastAsiaTheme="minorEastAsia"/>
                      <w:color w:val="auto"/>
                      <w:kern w:val="2"/>
                      <w:sz w:val="21"/>
                      <w:szCs w:val="21"/>
                      <w:highlight w:val="none"/>
                      <w:lang w:val="en-US" w:eastAsia="zh-CN" w:bidi="ar-SA"/>
                    </w:rPr>
                  </w:pPr>
                  <w:r>
                    <w:rPr>
                      <w:rFonts w:asciiTheme="minorEastAsia" w:hAnsiTheme="minorEastAsia" w:eastAsiaTheme="minorEastAsia"/>
                      <w:color w:val="auto"/>
                      <w:szCs w:val="21"/>
                      <w:highlight w:val="none"/>
                    </w:rPr>
                    <w:t>1</w:t>
                  </w:r>
                </w:p>
              </w:tc>
              <w:tc>
                <w:tcPr>
                  <w:tcW w:w="6588" w:type="dxa"/>
                  <w:vAlign w:val="center"/>
                </w:tcPr>
                <w:p w14:paraId="15A31E03">
                  <w:pPr>
                    <w:keepNext w:val="0"/>
                    <w:keepLines w:val="0"/>
                    <w:pageBreakBefore w:val="0"/>
                    <w:kinsoku/>
                    <w:wordWrap/>
                    <w:overflowPunct/>
                    <w:topLinePunct w:val="0"/>
                    <w:bidi w:val="0"/>
                    <w:adjustRightInd/>
                    <w:snapToGrid/>
                    <w:ind w:left="0" w:left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cs="宋体"/>
                    </w:rPr>
                    <w:t>★</w:t>
                  </w:r>
                  <w:r>
                    <w:rPr>
                      <w:rFonts w:hint="eastAsia" w:ascii="Times New Roman" w:hAnsi="Times New Roman" w:eastAsia="宋体" w:cs="宋体"/>
                      <w:color w:val="auto"/>
                      <w:sz w:val="21"/>
                      <w:szCs w:val="21"/>
                      <w:highlight w:val="none"/>
                    </w:rPr>
                    <w:t>投标人须</w:t>
                  </w:r>
                  <w:r>
                    <w:rPr>
                      <w:rFonts w:hint="eastAsia" w:ascii="Times New Roman" w:hAnsi="Times New Roman" w:eastAsia="宋体" w:cs="Times New Roman"/>
                      <w:color w:val="auto"/>
                      <w:sz w:val="21"/>
                      <w:szCs w:val="21"/>
                      <w:highlight w:val="none"/>
                      <w:lang w:val="en-US" w:eastAsia="zh-CN"/>
                    </w:rPr>
                    <w:t>具备商用密码应用安全性评估资质，</w:t>
                  </w:r>
                  <w:r>
                    <w:rPr>
                      <w:rFonts w:hint="eastAsia" w:ascii="Times New Roman" w:hAnsi="Times New Roman" w:eastAsia="宋体"/>
                      <w:color w:val="auto"/>
                      <w:szCs w:val="21"/>
                    </w:rPr>
                    <w:t>具有密码管理局</w:t>
                  </w:r>
                  <w:r>
                    <w:rPr>
                      <w:rFonts w:hint="eastAsia" w:ascii="Times New Roman" w:hAnsi="Times New Roman" w:eastAsia="宋体"/>
                      <w:color w:val="auto"/>
                      <w:szCs w:val="21"/>
                      <w:lang w:val="en-US" w:eastAsia="zh-CN"/>
                    </w:rPr>
                    <w:t>颁发</w:t>
                  </w:r>
                  <w:r>
                    <w:rPr>
                      <w:rFonts w:hint="eastAsia" w:ascii="Times New Roman" w:hAnsi="Times New Roman" w:eastAsia="宋体"/>
                      <w:color w:val="auto"/>
                      <w:szCs w:val="21"/>
                    </w:rPr>
                    <w:t>的商用密码检测机构资质证书</w:t>
                  </w:r>
                  <w:r>
                    <w:rPr>
                      <w:rFonts w:hint="eastAsia" w:ascii="Times New Roman" w:hAnsi="Times New Roman" w:eastAsia="宋体"/>
                      <w:color w:val="auto"/>
                      <w:szCs w:val="21"/>
                      <w:lang w:eastAsia="zh-CN"/>
                    </w:rPr>
                    <w:t>。</w:t>
                  </w:r>
                </w:p>
              </w:tc>
            </w:tr>
            <w:tr w14:paraId="254D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75B1A8BC">
                  <w:pPr>
                    <w:keepNext w:val="0"/>
                    <w:keepLines w:val="0"/>
                    <w:pageBreakBefore w:val="0"/>
                    <w:kinsoku/>
                    <w:wordWrap/>
                    <w:overflowPunct/>
                    <w:topLinePunct w:val="0"/>
                    <w:bidi w:val="0"/>
                    <w:adjustRightInd/>
                    <w:snapToGrid/>
                    <w:ind w:left="0" w:leftChars="0"/>
                    <w:jc w:val="center"/>
                    <w:textAlignment w:val="auto"/>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w:t>
                  </w:r>
                </w:p>
              </w:tc>
              <w:tc>
                <w:tcPr>
                  <w:tcW w:w="6588" w:type="dxa"/>
                  <w:shd w:val="clear" w:color="auto" w:fill="auto"/>
                  <w:vAlign w:val="center"/>
                </w:tcPr>
                <w:p w14:paraId="5FDB2966">
                  <w:pPr>
                    <w:keepNext w:val="0"/>
                    <w:keepLines w:val="0"/>
                    <w:pageBreakBefore w:val="0"/>
                    <w:kinsoku/>
                    <w:wordWrap/>
                    <w:overflowPunct/>
                    <w:topLinePunct w:val="0"/>
                    <w:bidi w:val="0"/>
                    <w:adjustRightInd/>
                    <w:snapToGrid/>
                    <w:ind w:left="0" w:leftChars="0"/>
                    <w:jc w:val="both"/>
                    <w:textAlignment w:val="auto"/>
                    <w:rPr>
                      <w:rFonts w:hint="eastAsia" w:eastAsia="宋体" w:cs="等线" w:asciiTheme="minorEastAsia" w:hAnsiTheme="minorEastAsia"/>
                      <w:color w:val="auto"/>
                      <w:kern w:val="2"/>
                      <w:sz w:val="21"/>
                      <w:szCs w:val="21"/>
                      <w:highlight w:val="none"/>
                      <w:lang w:val="en-US" w:eastAsia="zh-CN" w:bidi="ar-SA"/>
                    </w:rPr>
                  </w:pPr>
                  <w:r>
                    <w:rPr>
                      <w:rFonts w:hint="eastAsia" w:cs="宋体"/>
                    </w:rPr>
                    <w:t>★</w:t>
                  </w:r>
                  <w:r>
                    <w:rPr>
                      <w:rFonts w:hint="eastAsia" w:ascii="Times New Roman" w:hAnsi="Times New Roman" w:eastAsia="宋体" w:cs="宋体"/>
                      <w:color w:val="auto"/>
                      <w:sz w:val="21"/>
                      <w:szCs w:val="21"/>
                      <w:highlight w:val="none"/>
                    </w:rPr>
                    <w:t>投标人须</w:t>
                  </w:r>
                  <w:r>
                    <w:rPr>
                      <w:rFonts w:hint="eastAsia" w:ascii="Times New Roman" w:hAnsi="Times New Roman" w:eastAsia="宋体" w:cs="Times New Roman"/>
                      <w:color w:val="auto"/>
                      <w:sz w:val="21"/>
                      <w:szCs w:val="21"/>
                      <w:highlight w:val="none"/>
                      <w:lang w:val="en-US" w:eastAsia="zh-CN"/>
                    </w:rPr>
                    <w:t>具备网络安全等级保护测评资质，</w:t>
                  </w:r>
                  <w:r>
                    <w:rPr>
                      <w:rFonts w:hint="eastAsia" w:ascii="Times New Roman" w:hAnsi="Times New Roman" w:eastAsia="宋体"/>
                      <w:color w:val="auto"/>
                      <w:szCs w:val="21"/>
                    </w:rPr>
                    <w:t>具有公安部第三研究所</w:t>
                  </w:r>
                  <w:r>
                    <w:rPr>
                      <w:rFonts w:hint="eastAsia" w:ascii="Times New Roman" w:hAnsi="Times New Roman" w:eastAsia="宋体"/>
                      <w:color w:val="auto"/>
                      <w:szCs w:val="21"/>
                      <w:lang w:val="en-US" w:eastAsia="zh-CN"/>
                    </w:rPr>
                    <w:t>颁发</w:t>
                  </w:r>
                  <w:r>
                    <w:rPr>
                      <w:rFonts w:hint="eastAsia" w:ascii="Times New Roman" w:hAnsi="Times New Roman" w:eastAsia="宋体"/>
                      <w:color w:val="auto"/>
                      <w:szCs w:val="21"/>
                    </w:rPr>
                    <w:t>的网络安全服务认证证书等级保护测评服务认证</w:t>
                  </w:r>
                  <w:r>
                    <w:rPr>
                      <w:rFonts w:hint="eastAsia" w:ascii="Times New Roman" w:hAnsi="Times New Roman" w:eastAsia="宋体"/>
                      <w:color w:val="auto"/>
                      <w:szCs w:val="21"/>
                      <w:lang w:val="en-US" w:eastAsia="zh-CN"/>
                    </w:rPr>
                    <w:t>或网络安全等级测评与检测评估机构服务认证证书</w:t>
                  </w:r>
                  <w:r>
                    <w:rPr>
                      <w:rFonts w:hint="eastAsia" w:ascii="Times New Roman" w:hAnsi="Times New Roman" w:eastAsia="宋体"/>
                      <w:color w:val="auto"/>
                      <w:szCs w:val="21"/>
                      <w:lang w:eastAsia="zh-CN"/>
                    </w:rPr>
                    <w:t>。</w:t>
                  </w:r>
                </w:p>
              </w:tc>
            </w:tr>
            <w:tr w14:paraId="322C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2245E91A">
                  <w:pPr>
                    <w:keepNext w:val="0"/>
                    <w:keepLines w:val="0"/>
                    <w:pageBreakBefore w:val="0"/>
                    <w:kinsoku/>
                    <w:wordWrap/>
                    <w:overflowPunct/>
                    <w:topLinePunct w:val="0"/>
                    <w:bidi w:val="0"/>
                    <w:adjustRightInd/>
                    <w:snapToGrid/>
                    <w:ind w:left="0" w:leftChars="0"/>
                    <w:jc w:val="center"/>
                    <w:textAlignment w:val="auto"/>
                    <w:rPr>
                      <w:rFonts w:hint="eastAsia" w:cs="等线" w:asciiTheme="minorEastAsia" w:hAnsiTheme="minorEastAsia" w:eastAsiaTheme="minorEastAsia"/>
                      <w:color w:val="auto"/>
                      <w:kern w:val="2"/>
                      <w:sz w:val="21"/>
                      <w:szCs w:val="21"/>
                      <w:highlight w:val="none"/>
                      <w:lang w:val="en-US" w:eastAsia="zh-CN" w:bidi="ar-SA"/>
                    </w:rPr>
                  </w:pPr>
                  <w:r>
                    <w:rPr>
                      <w:rFonts w:asciiTheme="minorEastAsia" w:hAnsiTheme="minorEastAsia" w:eastAsiaTheme="minorEastAsia"/>
                      <w:color w:val="auto"/>
                      <w:szCs w:val="21"/>
                      <w:highlight w:val="none"/>
                    </w:rPr>
                    <w:t>……</w:t>
                  </w:r>
                </w:p>
              </w:tc>
              <w:tc>
                <w:tcPr>
                  <w:tcW w:w="6588" w:type="dxa"/>
                  <w:vAlign w:val="center"/>
                </w:tcPr>
                <w:p w14:paraId="5EFB44F9">
                  <w:pPr>
                    <w:keepNext w:val="0"/>
                    <w:keepLines w:val="0"/>
                    <w:pageBreakBefore w:val="0"/>
                    <w:kinsoku/>
                    <w:wordWrap/>
                    <w:overflowPunct/>
                    <w:topLinePunct w:val="0"/>
                    <w:bidi w:val="0"/>
                    <w:adjustRightInd/>
                    <w:snapToGrid/>
                    <w:ind w:left="0" w:leftChars="0"/>
                    <w:jc w:val="left"/>
                    <w:textAlignment w:val="auto"/>
                    <w:rPr>
                      <w:rFonts w:hint="eastAsia" w:cs="等线" w:asciiTheme="minorEastAsia" w:hAnsiTheme="minorEastAsia" w:eastAsiaTheme="minorEastAsia"/>
                      <w:color w:val="auto"/>
                      <w:kern w:val="2"/>
                      <w:sz w:val="21"/>
                      <w:szCs w:val="21"/>
                      <w:highlight w:val="none"/>
                      <w:lang w:val="en-US" w:eastAsia="zh-CN" w:bidi="ar-SA"/>
                    </w:rPr>
                  </w:pPr>
                </w:p>
              </w:tc>
            </w:tr>
          </w:tbl>
          <w:p w14:paraId="3C2217B6">
            <w:pPr>
              <w:keepNext w:val="0"/>
              <w:keepLines w:val="0"/>
              <w:pageBreakBefore w:val="0"/>
              <w:kinsoku/>
              <w:wordWrap/>
              <w:overflowPunct/>
              <w:topLinePunct w:val="0"/>
              <w:bidi w:val="0"/>
              <w:adjustRightInd/>
              <w:snapToGrid/>
              <w:ind w:left="0" w:leftChars="0"/>
              <w:jc w:val="left"/>
              <w:textAlignment w:val="auto"/>
              <w:rPr>
                <w:rFonts w:hint="eastAsia" w:cs="等线" w:asciiTheme="minorEastAsia" w:hAnsiTheme="minorEastAsia" w:eastAsiaTheme="minorEastAsia"/>
                <w:color w:val="auto"/>
                <w:kern w:val="2"/>
                <w:sz w:val="21"/>
                <w:szCs w:val="21"/>
                <w:highlight w:val="none"/>
                <w:lang w:val="en-US" w:eastAsia="zh-CN" w:bidi="ar-SA"/>
              </w:rPr>
            </w:pPr>
            <w:r>
              <w:rPr>
                <w:rFonts w:asciiTheme="minorEastAsia" w:hAnsiTheme="minorEastAsia" w:eastAsiaTheme="minorEastAsia"/>
                <w:color w:val="auto"/>
                <w:szCs w:val="21"/>
                <w:highlight w:val="none"/>
              </w:rPr>
              <w:t>注：上表所列内容为不可负偏离条款，即任何一条不满足将会导致投标无效。</w:t>
            </w:r>
          </w:p>
        </w:tc>
      </w:tr>
      <w:tr w14:paraId="3570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tcBorders>
              <w:tl2br w:val="nil"/>
              <w:tr2bl w:val="nil"/>
            </w:tcBorders>
            <w:vAlign w:val="center"/>
          </w:tcPr>
          <w:p w14:paraId="52FFABB2">
            <w:pPr>
              <w:keepNext w:val="0"/>
              <w:keepLines w:val="0"/>
              <w:pageBreakBefore w:val="0"/>
              <w:kinsoku/>
              <w:wordWrap/>
              <w:overflowPunct/>
              <w:topLinePunct w:val="0"/>
              <w:bidi w:val="0"/>
              <w:adjustRightInd/>
              <w:snapToGrid/>
              <w:ind w:left="0" w:leftChars="0"/>
              <w:jc w:val="center"/>
              <w:textAlignment w:val="auto"/>
              <w:rPr>
                <w:rFonts w:cs="宋体" w:asciiTheme="minorEastAsia" w:hAnsiTheme="minorEastAsia" w:eastAsiaTheme="minorEastAsia"/>
                <w:color w:val="auto"/>
                <w:kern w:val="0"/>
                <w:szCs w:val="21"/>
                <w:highlight w:val="none"/>
              </w:rPr>
            </w:pPr>
            <w:r>
              <w:rPr>
                <w:rFonts w:hint="eastAsia" w:ascii="宋体" w:hAnsi="宋体" w:eastAsia="宋体" w:cs="宋体"/>
                <w:color w:val="auto"/>
                <w:kern w:val="0"/>
                <w:szCs w:val="21"/>
                <w:highlight w:val="none"/>
              </w:rPr>
              <w:t>※</w:t>
            </w:r>
            <w:r>
              <w:rPr>
                <w:rFonts w:cs="宋体" w:asciiTheme="minorEastAsia" w:hAnsiTheme="minorEastAsia" w:eastAsiaTheme="minorEastAsia"/>
                <w:color w:val="auto"/>
                <w:kern w:val="0"/>
                <w:szCs w:val="21"/>
                <w:highlight w:val="none"/>
              </w:rPr>
              <w:t>具体技术</w:t>
            </w:r>
          </w:p>
          <w:p w14:paraId="2B5E4204">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color w:val="auto"/>
                <w:kern w:val="0"/>
                <w:szCs w:val="21"/>
                <w:highlight w:val="none"/>
              </w:rPr>
            </w:pPr>
            <w:r>
              <w:rPr>
                <w:rFonts w:cs="宋体" w:asciiTheme="minorEastAsia" w:hAnsiTheme="minorEastAsia" w:eastAsiaTheme="minorEastAsia"/>
                <w:color w:val="auto"/>
                <w:kern w:val="0"/>
                <w:szCs w:val="21"/>
                <w:highlight w:val="none"/>
              </w:rPr>
              <w:t>要求</w:t>
            </w:r>
          </w:p>
        </w:tc>
        <w:tc>
          <w:tcPr>
            <w:tcW w:w="4283" w:type="pct"/>
            <w:gridSpan w:val="10"/>
            <w:tcBorders>
              <w:tl2br w:val="nil"/>
              <w:tr2bl w:val="nil"/>
            </w:tcBorders>
            <w:vAlign w:val="center"/>
          </w:tcPr>
          <w:p w14:paraId="7DBD8DBB">
            <w:pPr>
              <w:keepNext w:val="0"/>
              <w:keepLines w:val="0"/>
              <w:pageBreakBefore w:val="0"/>
              <w:kinsoku/>
              <w:wordWrap/>
              <w:overflowPunct/>
              <w:topLinePunct w:val="0"/>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意：提供服务总体要求、服务标的（如人员、车辆、检测对象、管理对象）数量情况、详细具体的服务需求内容及工作量情况（以能给供应商准确的报价依据，使不同供应商的项目报价不至于差距过大作为判断需求“详细具体”的标准）</w:t>
            </w:r>
            <w:r>
              <w:rPr>
                <w:rFonts w:hint="eastAsia" w:ascii="宋体" w:hAnsi="宋体" w:eastAsia="宋体" w:cs="宋体"/>
                <w:color w:val="auto"/>
                <w:sz w:val="21"/>
                <w:szCs w:val="21"/>
                <w:highlight w:val="none"/>
                <w:lang w:eastAsia="zh-CN"/>
              </w:rPr>
              <w:t>。</w:t>
            </w:r>
          </w:p>
          <w:p w14:paraId="2EA41AE3">
            <w:pPr>
              <w:keepNext w:val="0"/>
              <w:keepLines w:val="0"/>
              <w:pageBreakBefore w:val="0"/>
              <w:kinsoku/>
              <w:wordWrap/>
              <w:overflowPunct/>
              <w:topLinePunct w:val="0"/>
              <w:bidi w:val="0"/>
              <w:adjustRightInd/>
              <w:snapToGrid/>
              <w:spacing w:line="240" w:lineRule="auto"/>
              <w:ind w:left="0" w:leftChars="0" w:firstLine="420" w:firstLineChars="20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本项目根据国家</w:t>
            </w:r>
            <w:r>
              <w:rPr>
                <w:rFonts w:hint="eastAsia" w:ascii="Times New Roman" w:hAnsi="Times New Roman" w:eastAsia="宋体" w:cs="Times New Roman"/>
                <w:color w:val="auto"/>
                <w:sz w:val="21"/>
                <w:szCs w:val="21"/>
                <w:highlight w:val="none"/>
                <w:lang w:val="en-US" w:eastAsia="zh-CN"/>
              </w:rPr>
              <w:t>商用密码应用安全性评估和网络安全等级保护测评有关规定，针对采购人指定的信息系统（</w:t>
            </w:r>
            <w:r>
              <w:rPr>
                <w:rFonts w:hint="eastAsia" w:asciiTheme="minorEastAsia" w:hAnsiTheme="minorEastAsia" w:eastAsiaTheme="minorEastAsia"/>
                <w:color w:val="auto"/>
                <w:szCs w:val="21"/>
                <w:highlight w:val="none"/>
                <w:lang w:eastAsia="zh-CN"/>
              </w:rPr>
              <w:t>信息基础设施综合运维管理平台</w:t>
            </w:r>
            <w:r>
              <w:rPr>
                <w:rFonts w:hint="eastAsia" w:ascii="Times New Roman" w:hAnsi="Times New Roman" w:eastAsia="宋体" w:cs="Times New Roman"/>
                <w:color w:val="auto"/>
                <w:sz w:val="21"/>
                <w:szCs w:val="21"/>
                <w:highlight w:val="none"/>
                <w:lang w:val="en-US" w:eastAsia="zh-CN"/>
              </w:rPr>
              <w:t>）开展商用密码应用安全性评估和等级保护测评，确保信息系统符合国家密码应用安全和等级保护有关要求。</w:t>
            </w:r>
          </w:p>
          <w:p w14:paraId="3611F7A3">
            <w:pPr>
              <w:keepNext w:val="0"/>
              <w:keepLines w:val="0"/>
              <w:pageBreakBefore w:val="0"/>
              <w:kinsoku/>
              <w:wordWrap/>
              <w:overflowPunct/>
              <w:topLinePunct w:val="0"/>
              <w:bidi w:val="0"/>
              <w:adjustRightInd/>
              <w:snapToGrid/>
              <w:spacing w:line="240" w:lineRule="auto"/>
              <w:ind w:left="0" w:leftChars="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投标人应</w:t>
            </w:r>
            <w:r>
              <w:rPr>
                <w:rFonts w:hint="eastAsia" w:ascii="宋体" w:hAnsi="宋体" w:eastAsia="宋体" w:cs="宋体"/>
                <w:color w:val="auto"/>
                <w:sz w:val="21"/>
                <w:szCs w:val="21"/>
                <w:highlight w:val="none"/>
                <w:lang w:val="en-US" w:eastAsia="zh-CN"/>
              </w:rPr>
              <w:t>组织具有较强业务能力、较高技术素质和专业经验的技术人员根据国家标准《信息安全技术 信息系统密码应用基本要求》（GB/T 39786-2021）和《信息安全技术 网络安全等级保护基本要求》（GB/T 22239-2019）完成采购人指定信息系统的相关安全测评服务，出具相关商用密码应用安全性评估报告和网络安全等级保护等级测评报告，并协助采购人取得密码管理机关出具的密评结果备案材料接收回执和公安机关出具的等级保护测评结果通知书。若测评过程中，被测系统存在不符合法律法规的规定和相关国家标准，投标人应协助采购人相关整改，确保采购人最终通过测评并取得密码管理机关出具的密评结果备案材料接收回执和公安机关出具的等级保护测评结果通知书。</w:t>
            </w:r>
          </w:p>
        </w:tc>
      </w:tr>
      <w:tr w14:paraId="349D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tcBorders>
              <w:tl2br w:val="nil"/>
              <w:tr2bl w:val="nil"/>
            </w:tcBorders>
            <w:vAlign w:val="center"/>
          </w:tcPr>
          <w:p w14:paraId="277E2875">
            <w:pPr>
              <w:keepNext w:val="0"/>
              <w:keepLines w:val="0"/>
              <w:pageBreakBefore w:val="0"/>
              <w:kinsoku/>
              <w:wordWrap/>
              <w:overflowPunct/>
              <w:topLinePunct w:val="0"/>
              <w:bidi w:val="0"/>
              <w:adjustRightInd/>
              <w:snapToGrid/>
              <w:ind w:left="0" w:leftChars="0"/>
              <w:jc w:val="center"/>
              <w:textAlignment w:val="auto"/>
              <w:rPr>
                <w:rFonts w:cs="宋体" w:asciiTheme="minorEastAsia" w:hAnsiTheme="minorEastAsia" w:eastAsiaTheme="minorEastAsia"/>
                <w:color w:val="auto"/>
                <w:kern w:val="0"/>
                <w:szCs w:val="21"/>
                <w:highlight w:val="none"/>
              </w:rPr>
            </w:pPr>
            <w:r>
              <w:rPr>
                <w:rFonts w:hint="eastAsia" w:ascii="宋体" w:hAnsi="宋体" w:eastAsia="宋体" w:cs="宋体"/>
                <w:color w:val="auto"/>
                <w:kern w:val="0"/>
                <w:szCs w:val="21"/>
                <w:highlight w:val="none"/>
              </w:rPr>
              <w:t>※</w:t>
            </w:r>
            <w:r>
              <w:rPr>
                <w:rFonts w:cs="宋体" w:asciiTheme="minorEastAsia" w:hAnsiTheme="minorEastAsia" w:eastAsiaTheme="minorEastAsia"/>
                <w:color w:val="auto"/>
                <w:kern w:val="0"/>
                <w:szCs w:val="21"/>
                <w:highlight w:val="none"/>
              </w:rPr>
              <w:t>商务需求</w:t>
            </w:r>
          </w:p>
        </w:tc>
        <w:tc>
          <w:tcPr>
            <w:tcW w:w="4283" w:type="pct"/>
            <w:gridSpan w:val="10"/>
            <w:tcBorders>
              <w:tl2br w:val="nil"/>
              <w:tr2bl w:val="nil"/>
            </w:tcBorders>
          </w:tcPr>
          <w:p w14:paraId="40A6AE2B">
            <w:pPr>
              <w:keepNext w:val="0"/>
              <w:keepLines w:val="0"/>
              <w:pageBreakBefore w:val="0"/>
              <w:kinsoku/>
              <w:wordWrap/>
              <w:overflowPunct/>
              <w:topLinePunct w:val="0"/>
              <w:bidi w:val="0"/>
              <w:adjustRightInd/>
              <w:snapToGrid/>
              <w:ind w:left="0" w:leftChars="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注意：提供项目服务期限（完成期限）、项目进度安排、付款方式、验收要求、培训要求、售后服务要求，例如：</w:t>
            </w:r>
          </w:p>
          <w:p w14:paraId="5624D8FA">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2" w:firstLineChars="200"/>
              <w:textAlignment w:val="auto"/>
              <w:rPr>
                <w:rFonts w:hint="eastAsia" w:ascii="Times New Roman" w:hAnsi="Times New Roman" w:eastAsia="宋体" w:cs="宋体"/>
                <w:b/>
                <w:bCs w:val="0"/>
                <w:color w:val="auto"/>
                <w:sz w:val="21"/>
                <w:szCs w:val="21"/>
                <w:highlight w:val="none"/>
              </w:rPr>
            </w:pPr>
            <w:r>
              <w:rPr>
                <w:rFonts w:hint="eastAsia" w:ascii="Times New Roman" w:hAnsi="Times New Roman" w:eastAsia="宋体" w:cs="宋体"/>
                <w:b/>
                <w:bCs w:val="0"/>
                <w:color w:val="auto"/>
                <w:sz w:val="21"/>
                <w:szCs w:val="21"/>
                <w:highlight w:val="none"/>
              </w:rPr>
              <w:t>服务</w:t>
            </w:r>
            <w:r>
              <w:rPr>
                <w:rFonts w:hint="eastAsia" w:ascii="Times New Roman" w:hAnsi="Times New Roman" w:eastAsia="宋体" w:cs="宋体"/>
                <w:b/>
                <w:bCs w:val="0"/>
                <w:color w:val="auto"/>
                <w:sz w:val="21"/>
                <w:szCs w:val="21"/>
                <w:highlight w:val="none"/>
                <w:lang w:val="en-US" w:eastAsia="zh-CN"/>
              </w:rPr>
              <w:t>期限</w:t>
            </w:r>
          </w:p>
          <w:p w14:paraId="12FB4DAA">
            <w:pPr>
              <w:keepNext w:val="0"/>
              <w:keepLines w:val="0"/>
              <w:pageBreakBefore w:val="0"/>
              <w:kinsoku/>
              <w:wordWrap/>
              <w:overflowPunct/>
              <w:topLinePunct w:val="0"/>
              <w:bidi w:val="0"/>
              <w:adjustRightInd/>
              <w:snapToGrid/>
              <w:ind w:left="0" w:leftChars="0" w:firstLine="420" w:firstLineChars="200"/>
              <w:textAlignment w:val="auto"/>
              <w:rPr>
                <w:rFonts w:hint="eastAsia" w:asciiTheme="minorEastAsia" w:hAnsiTheme="minorEastAsia" w:eastAsiaTheme="minorEastAsia"/>
                <w:color w:val="auto"/>
                <w:szCs w:val="21"/>
                <w:highlight w:val="none"/>
                <w:lang w:eastAsia="zh-CN"/>
              </w:rPr>
            </w:pPr>
            <w:bookmarkStart w:id="0" w:name="_Toc466973009"/>
            <w:r>
              <w:rPr>
                <w:rFonts w:hint="eastAsia" w:asciiTheme="minorEastAsia" w:hAnsiTheme="minorEastAsia" w:eastAsiaTheme="minorEastAsia"/>
                <w:color w:val="auto"/>
                <w:szCs w:val="21"/>
                <w:highlight w:val="none"/>
                <w:lang w:val="en-US" w:eastAsia="zh-CN"/>
              </w:rPr>
              <w:t>本项目服务期为合同签订之日起1年。投标人应在接到采购人或采购人指定的</w:t>
            </w:r>
            <w:r>
              <w:rPr>
                <w:rFonts w:hint="eastAsia" w:ascii="宋体" w:hAnsi="宋体" w:eastAsia="宋体" w:cs="宋体"/>
                <w:color w:val="auto"/>
                <w:sz w:val="21"/>
                <w:szCs w:val="21"/>
                <w:highlight w:val="none"/>
                <w:lang w:val="en-US" w:eastAsia="zh-CN"/>
              </w:rPr>
              <w:t>第三方监理单位的通知后30日内安排人员完成相关安全测评服务</w:t>
            </w:r>
            <w:bookmarkEnd w:id="0"/>
            <w:r>
              <w:rPr>
                <w:rFonts w:hint="eastAsia" w:ascii="宋体" w:hAnsi="宋体" w:eastAsia="宋体" w:cs="宋体"/>
                <w:color w:val="auto"/>
                <w:sz w:val="21"/>
                <w:szCs w:val="21"/>
                <w:highlight w:val="none"/>
                <w:lang w:val="en-US" w:eastAsia="zh-CN"/>
              </w:rPr>
              <w:t>，并出具安全评估或测评报告</w:t>
            </w:r>
            <w:r>
              <w:rPr>
                <w:rFonts w:hint="eastAsia" w:asciiTheme="minorEastAsia" w:hAnsiTheme="minorEastAsia" w:eastAsiaTheme="minorEastAsia"/>
                <w:color w:val="auto"/>
                <w:szCs w:val="21"/>
                <w:highlight w:val="none"/>
                <w:lang w:eastAsia="zh-CN"/>
              </w:rPr>
              <w:t>。</w:t>
            </w:r>
          </w:p>
          <w:p w14:paraId="7F5096E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2" w:firstLineChars="200"/>
              <w:textAlignment w:val="auto"/>
              <w:rPr>
                <w:rFonts w:hint="eastAsia" w:ascii="Times New Roman" w:hAnsi="Times New Roman" w:eastAsia="宋体" w:cs="宋体"/>
                <w:b/>
                <w:bCs w:val="0"/>
                <w:color w:val="auto"/>
                <w:sz w:val="21"/>
                <w:szCs w:val="21"/>
                <w:highlight w:val="none"/>
              </w:rPr>
            </w:pPr>
            <w:r>
              <w:rPr>
                <w:rFonts w:hint="eastAsia" w:ascii="Times New Roman" w:hAnsi="Times New Roman" w:eastAsia="宋体" w:cs="宋体"/>
                <w:b/>
                <w:bCs w:val="0"/>
                <w:color w:val="auto"/>
                <w:sz w:val="21"/>
                <w:szCs w:val="21"/>
                <w:highlight w:val="none"/>
                <w:lang w:val="en-US" w:eastAsia="zh-CN"/>
              </w:rPr>
              <w:t>验收要求</w:t>
            </w:r>
          </w:p>
          <w:p w14:paraId="745B9915">
            <w:pPr>
              <w:keepNext w:val="0"/>
              <w:keepLines w:val="0"/>
              <w:pageBreakBefore w:val="0"/>
              <w:numPr>
                <w:ilvl w:val="0"/>
                <w:numId w:val="0"/>
              </w:numPr>
              <w:kinsoku/>
              <w:wordWrap/>
              <w:overflowPunct/>
              <w:topLinePunct w:val="0"/>
              <w:bidi w:val="0"/>
              <w:adjustRightInd/>
              <w:snapToGrid/>
              <w:spacing w:line="240"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投标人在完成采购人指定的信息系统（</w:t>
            </w:r>
            <w:r>
              <w:rPr>
                <w:rFonts w:hint="eastAsia" w:asciiTheme="minorEastAsia" w:hAnsiTheme="minorEastAsia" w:eastAsiaTheme="minorEastAsia"/>
                <w:color w:val="auto"/>
                <w:szCs w:val="21"/>
                <w:highlight w:val="none"/>
                <w:lang w:eastAsia="zh-CN"/>
              </w:rPr>
              <w:t>信息基础设施综合运维管理平台</w:t>
            </w:r>
            <w:r>
              <w:rPr>
                <w:rFonts w:hint="eastAsia" w:ascii="Times New Roman" w:hAnsi="Times New Roman" w:eastAsia="宋体" w:cs="Times New Roman"/>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相关安全测评服务并出具安全评估或测评报告，并协助采购人取得密码管理机关出具的密评结果备案材料接收回执和公安机关出具的等级保护测评结果通知书后，投标人提出验收申请，由采购人组织第三方监理单位进行验收，验收通过后出具项目验收报告。</w:t>
            </w:r>
          </w:p>
          <w:p w14:paraId="3FFE8B9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2" w:firstLineChars="200"/>
              <w:textAlignment w:val="auto"/>
              <w:rPr>
                <w:rFonts w:hint="eastAsia" w:ascii="Times New Roman" w:hAnsi="Times New Roman" w:eastAsia="宋体" w:cs="宋体"/>
                <w:b/>
                <w:bCs w:val="0"/>
                <w:color w:val="auto"/>
                <w:sz w:val="21"/>
                <w:szCs w:val="21"/>
                <w:highlight w:val="none"/>
              </w:rPr>
            </w:pPr>
            <w:r>
              <w:rPr>
                <w:rFonts w:hint="eastAsia" w:ascii="Times New Roman" w:hAnsi="Times New Roman" w:eastAsia="宋体" w:cs="宋体"/>
                <w:b/>
                <w:bCs w:val="0"/>
                <w:color w:val="auto"/>
                <w:sz w:val="21"/>
                <w:szCs w:val="21"/>
                <w:highlight w:val="none"/>
                <w:lang w:val="en-US" w:eastAsia="zh-CN"/>
              </w:rPr>
              <w:t>付款方式</w:t>
            </w:r>
          </w:p>
          <w:p w14:paraId="1BF1D1E4">
            <w:pPr>
              <w:keepNext w:val="0"/>
              <w:keepLines w:val="0"/>
              <w:pageBreakBefore w:val="0"/>
              <w:kinsoku/>
              <w:wordWrap/>
              <w:overflowPunct/>
              <w:topLinePunct w:val="0"/>
              <w:bidi w:val="0"/>
              <w:adjustRightInd/>
              <w:snapToGrid/>
              <w:spacing w:line="240" w:lineRule="auto"/>
              <w:ind w:left="0" w:leftChars="0" w:firstLine="42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1.根据《深圳市市级政务信息化项目管理办法》有关规定，在投标人取得项目验收报告，且投标人提交相应金额的付款申请及合格等额发票后15日内，采购人完成支付合同总价100%款项的财政支付手续的办理。</w:t>
            </w:r>
          </w:p>
          <w:p w14:paraId="4B8974BA">
            <w:pPr>
              <w:keepNext w:val="0"/>
              <w:keepLines w:val="0"/>
              <w:pageBreakBefore w:val="0"/>
              <w:kinsoku/>
              <w:wordWrap/>
              <w:overflowPunct/>
              <w:topLinePunct w:val="0"/>
              <w:bidi w:val="0"/>
              <w:adjustRightInd/>
              <w:snapToGrid/>
              <w:spacing w:line="240" w:lineRule="auto"/>
              <w:ind w:left="0" w:leftChars="0" w:firstLine="42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项目款实际支付以市财政局关于项目相关财务支付规定要求为准，且项目若开展政府审计，投标人须根据《中华人民共和国审计法》《深圳经济特区政府投资项目审计监督条例》等国家法律法规的相关要求，无条件配合采购人落实相关审计要求。</w:t>
            </w:r>
          </w:p>
          <w:p w14:paraId="06916CF8">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2" w:firstLineChars="200"/>
              <w:textAlignment w:val="auto"/>
              <w:rPr>
                <w:rFonts w:hint="eastAsia" w:ascii="Times New Roman" w:hAnsi="Times New Roman" w:eastAsia="宋体" w:cs="宋体"/>
                <w:b/>
                <w:bCs w:val="0"/>
                <w:color w:val="auto"/>
                <w:sz w:val="21"/>
                <w:szCs w:val="21"/>
                <w:highlight w:val="none"/>
              </w:rPr>
            </w:pPr>
            <w:r>
              <w:rPr>
                <w:rFonts w:hint="eastAsia" w:ascii="Times New Roman" w:hAnsi="Times New Roman" w:eastAsia="宋体" w:cs="宋体"/>
                <w:b/>
                <w:bCs w:val="0"/>
                <w:color w:val="auto"/>
                <w:sz w:val="21"/>
                <w:szCs w:val="21"/>
                <w:highlight w:val="none"/>
                <w:lang w:val="en-US" w:eastAsia="zh-CN"/>
              </w:rPr>
              <w:t>人员要求</w:t>
            </w:r>
          </w:p>
          <w:p w14:paraId="40EE4F00">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color w:val="auto"/>
                <w:szCs w:val="21"/>
                <w:highlight w:val="none"/>
                <w:lang w:val="en-US" w:eastAsia="zh-CN"/>
              </w:rPr>
            </w:pP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lang w:val="en-US" w:eastAsia="zh-CN"/>
              </w:rPr>
              <w:t>人员配置要求：</w:t>
            </w:r>
            <w:r>
              <w:rPr>
                <w:rFonts w:hint="eastAsia" w:asciiTheme="minorEastAsia" w:hAnsiTheme="minorEastAsia" w:eastAsiaTheme="minorEastAsia"/>
                <w:color w:val="auto"/>
                <w:szCs w:val="21"/>
                <w:highlight w:val="none"/>
                <w:lang w:val="en-US" w:eastAsia="zh-CN"/>
              </w:rPr>
              <w:t>投标人在项目中标后须组建项目服务团队，委派具有丰富项目经验、技术全面的项目经理1人以及项目成员不少于4人，提供优质高效的服务，保证项目交付质量，确保项目如期交付。项目经理负责项目的组织协调和整体管理，加强项目进度管理，须有较强组织协调管理能力，熟悉《信息安全技术 信息系统密码应用基本要求》（GB∕T 39786-2021）、《信息安全技术 网络安全等级保护基本要求》（GB/T 22239—2019）等国家标准以及相关密码、网络和数据安全相关法律法规，且必须具有良好的文字表达、沟通交流和语言表达能力。</w:t>
            </w:r>
          </w:p>
          <w:p w14:paraId="6B6ECCB5">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2.人员管理要求：</w:t>
            </w:r>
            <w:r>
              <w:rPr>
                <w:rFonts w:hint="eastAsia" w:ascii="宋体" w:hAnsi="宋体" w:eastAsia="宋体" w:cs="宋体"/>
                <w:color w:val="auto"/>
                <w:kern w:val="2"/>
                <w:sz w:val="21"/>
                <w:szCs w:val="21"/>
                <w:highlight w:val="none"/>
                <w:lang w:val="en-US" w:eastAsia="zh-CN"/>
              </w:rPr>
              <w:t>投标人在投标文件中须提供项目团队人员名单、简历、认证证书，且委派的</w:t>
            </w:r>
            <w:r>
              <w:rPr>
                <w:rFonts w:hint="eastAsia" w:cs="宋体" w:asciiTheme="minorEastAsia" w:hAnsiTheme="minorEastAsia" w:eastAsiaTheme="minorEastAsia"/>
                <w:color w:val="auto"/>
                <w:szCs w:val="21"/>
                <w:highlight w:val="none"/>
                <w:lang w:val="en-US" w:eastAsia="zh-CN"/>
              </w:rPr>
              <w:t>团队成员需严格遵守采购人相关人员管理制度要求，若因不遵守采购人相关人员管理制度要求导致产生不良影响的，采购人有权对中标人进行处罚</w:t>
            </w:r>
            <w:r>
              <w:rPr>
                <w:rFonts w:hint="eastAsia" w:asciiTheme="minorEastAsia" w:hAnsiTheme="minorEastAsia" w:eastAsiaTheme="minorEastAsia"/>
                <w:color w:val="auto"/>
                <w:szCs w:val="21"/>
                <w:highlight w:val="none"/>
                <w:lang w:val="en-US" w:eastAsia="zh-CN"/>
              </w:rPr>
              <w:t>。</w:t>
            </w:r>
          </w:p>
          <w:p w14:paraId="7EEA9120">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3.人员能力要求：在现有服务人员无法满足服务要求的情况下</w:t>
            </w:r>
            <w:r>
              <w:rPr>
                <w:rFonts w:hint="eastAsia" w:cs="宋体" w:asciiTheme="minorEastAsia" w:hAnsiTheme="minorEastAsia" w:eastAsiaTheme="minorEastAsia"/>
                <w:color w:val="auto"/>
                <w:szCs w:val="21"/>
                <w:highlight w:val="none"/>
                <w:lang w:eastAsia="zh-CN"/>
              </w:rPr>
              <w:t>，投标人须额外安排能够满足服务要求的其他人员进行服务支撑。</w:t>
            </w:r>
            <w:r>
              <w:rPr>
                <w:rFonts w:hint="eastAsia" w:cs="宋体" w:asciiTheme="minorEastAsia" w:hAnsiTheme="minorEastAsia" w:eastAsiaTheme="minorEastAsia"/>
                <w:color w:val="auto"/>
                <w:szCs w:val="21"/>
                <w:highlight w:val="none"/>
                <w:lang w:val="en-US" w:eastAsia="zh-CN"/>
              </w:rPr>
              <w:t>如服务人员能力无法</w:t>
            </w:r>
            <w:r>
              <w:rPr>
                <w:rFonts w:hint="eastAsia" w:cs="宋体" w:asciiTheme="minorEastAsia" w:hAnsiTheme="minorEastAsia" w:eastAsiaTheme="minorEastAsia"/>
                <w:color w:val="auto"/>
                <w:szCs w:val="21"/>
                <w:highlight w:val="none"/>
              </w:rPr>
              <w:t>满足采购人对服务能力</w:t>
            </w:r>
            <w:r>
              <w:rPr>
                <w:rFonts w:hint="eastAsia" w:cs="宋体" w:asciiTheme="minorEastAsia" w:hAnsiTheme="minorEastAsia" w:eastAsiaTheme="minorEastAsia"/>
                <w:color w:val="auto"/>
                <w:szCs w:val="21"/>
                <w:highlight w:val="none"/>
                <w:lang w:val="en-US" w:eastAsia="zh-CN"/>
              </w:rPr>
              <w:t>的</w:t>
            </w:r>
            <w:r>
              <w:rPr>
                <w:rFonts w:hint="eastAsia" w:cs="宋体" w:asciiTheme="minorEastAsia" w:hAnsiTheme="minorEastAsia" w:eastAsiaTheme="minorEastAsia"/>
                <w:color w:val="auto"/>
                <w:szCs w:val="21"/>
                <w:highlight w:val="none"/>
              </w:rPr>
              <w:t>要求</w:t>
            </w:r>
            <w:r>
              <w:rPr>
                <w:rFonts w:hint="eastAsia" w:cs="宋体" w:asciiTheme="minorEastAsia" w:hAnsiTheme="minorEastAsia" w:eastAsiaTheme="minorEastAsia"/>
                <w:color w:val="auto"/>
                <w:szCs w:val="21"/>
                <w:highlight w:val="none"/>
                <w:lang w:val="en-US" w:eastAsia="zh-CN"/>
              </w:rPr>
              <w:t>，</w:t>
            </w:r>
            <w:r>
              <w:rPr>
                <w:rFonts w:hint="eastAsia" w:cs="宋体" w:asciiTheme="minorEastAsia" w:hAnsiTheme="minorEastAsia" w:eastAsiaTheme="minorEastAsia"/>
                <w:color w:val="auto"/>
                <w:szCs w:val="21"/>
                <w:highlight w:val="none"/>
              </w:rPr>
              <w:t>采购人有权要求</w:t>
            </w:r>
            <w:r>
              <w:rPr>
                <w:rFonts w:hint="eastAsia" w:cs="宋体" w:asciiTheme="minorEastAsia" w:hAnsiTheme="minorEastAsia" w:eastAsiaTheme="minorEastAsia"/>
                <w:color w:val="auto"/>
                <w:szCs w:val="21"/>
                <w:highlight w:val="none"/>
                <w:lang w:val="en-US" w:eastAsia="zh-CN"/>
              </w:rPr>
              <w:t>投</w:t>
            </w:r>
            <w:r>
              <w:rPr>
                <w:rFonts w:hint="eastAsia" w:cs="宋体" w:asciiTheme="minorEastAsia" w:hAnsiTheme="minorEastAsia" w:eastAsiaTheme="minorEastAsia"/>
                <w:color w:val="auto"/>
                <w:szCs w:val="21"/>
                <w:highlight w:val="none"/>
              </w:rPr>
              <w:t>标人更换</w:t>
            </w:r>
            <w:r>
              <w:rPr>
                <w:rFonts w:hint="eastAsia" w:cs="宋体" w:asciiTheme="minorEastAsia" w:hAnsiTheme="minorEastAsia" w:eastAsiaTheme="minorEastAsia"/>
                <w:color w:val="auto"/>
                <w:szCs w:val="21"/>
                <w:highlight w:val="none"/>
                <w:lang w:val="en-US" w:eastAsia="zh-CN"/>
              </w:rPr>
              <w:t>或增补</w:t>
            </w:r>
            <w:r>
              <w:rPr>
                <w:rFonts w:hint="eastAsia" w:cs="宋体" w:asciiTheme="minorEastAsia" w:hAnsiTheme="minorEastAsia" w:eastAsiaTheme="minorEastAsia"/>
                <w:color w:val="auto"/>
                <w:szCs w:val="21"/>
                <w:highlight w:val="none"/>
              </w:rPr>
              <w:t>具备服务能力的</w:t>
            </w:r>
            <w:r>
              <w:rPr>
                <w:rFonts w:hint="eastAsia" w:cs="宋体" w:asciiTheme="minorEastAsia" w:hAnsiTheme="minorEastAsia" w:eastAsiaTheme="minorEastAsia"/>
                <w:color w:val="auto"/>
                <w:szCs w:val="21"/>
                <w:highlight w:val="none"/>
                <w:lang w:val="en-US" w:eastAsia="zh-CN"/>
              </w:rPr>
              <w:t>服务</w:t>
            </w:r>
            <w:r>
              <w:rPr>
                <w:rFonts w:hint="eastAsia" w:cs="宋体" w:asciiTheme="minorEastAsia" w:hAnsiTheme="minorEastAsia" w:eastAsiaTheme="minorEastAsia"/>
                <w:color w:val="auto"/>
                <w:szCs w:val="21"/>
                <w:highlight w:val="none"/>
              </w:rPr>
              <w:t>人员，人员更新不得影响服务工作质量和效果。</w:t>
            </w:r>
            <w:r>
              <w:rPr>
                <w:rFonts w:hint="eastAsia" w:cs="宋体" w:asciiTheme="minorEastAsia" w:hAnsiTheme="minorEastAsia" w:eastAsiaTheme="minorEastAsia"/>
                <w:color w:val="auto"/>
                <w:szCs w:val="21"/>
                <w:highlight w:val="none"/>
                <w:lang w:val="en-US" w:eastAsia="zh-CN"/>
              </w:rPr>
              <w:t>采购人或者</w:t>
            </w:r>
            <w:r>
              <w:rPr>
                <w:rFonts w:hint="eastAsia" w:cs="宋体" w:asciiTheme="minorEastAsia" w:hAnsiTheme="minorEastAsia" w:eastAsiaTheme="minorEastAsia"/>
                <w:color w:val="auto"/>
                <w:szCs w:val="21"/>
                <w:highlight w:val="none"/>
              </w:rPr>
              <w:t>由采购人指定的第三方监理单位</w:t>
            </w:r>
            <w:r>
              <w:rPr>
                <w:rFonts w:hint="eastAsia" w:cs="宋体" w:asciiTheme="minorEastAsia" w:hAnsiTheme="minorEastAsia" w:eastAsiaTheme="minorEastAsia"/>
                <w:color w:val="auto"/>
                <w:szCs w:val="21"/>
                <w:highlight w:val="none"/>
                <w:lang w:val="en-US" w:eastAsia="zh-CN"/>
              </w:rPr>
              <w:t>发出人员更换通知后，投标人未响应或拒绝执行的，采购人可扣除合同总款项3%作为惩罚。</w:t>
            </w:r>
          </w:p>
          <w:p w14:paraId="2502767E">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4.人员变更要求：投标人应确保本项目团队的稳定性，项目人员需严格遵守并服从采购人的相关管理规定和工作安排。如因投标人原因或人员个人原因需要更换，需经过采购人审核同意后方可变更，更换后的人员相关资质应不低于投标人应标响应资质要求。</w:t>
            </w:r>
            <w:r>
              <w:rPr>
                <w:rFonts w:hint="eastAsia" w:asciiTheme="minorEastAsia" w:hAnsiTheme="minorEastAsia" w:eastAsiaTheme="minorEastAsia"/>
                <w:color w:val="auto"/>
                <w:szCs w:val="21"/>
                <w:highlight w:val="none"/>
                <w:lang w:val="en-US" w:eastAsia="zh-CN"/>
              </w:rPr>
              <w:t>派驻现场</w:t>
            </w:r>
            <w:r>
              <w:rPr>
                <w:rFonts w:hint="eastAsia" w:cs="宋体" w:asciiTheme="minorEastAsia" w:hAnsiTheme="minorEastAsia" w:eastAsiaTheme="minorEastAsia"/>
                <w:color w:val="auto"/>
                <w:szCs w:val="21"/>
                <w:highlight w:val="none"/>
                <w:lang w:val="en-US" w:eastAsia="zh-CN"/>
              </w:rPr>
              <w:t>服务</w:t>
            </w:r>
            <w:r>
              <w:rPr>
                <w:rFonts w:hint="eastAsia" w:ascii="宋体" w:hAnsi="宋体" w:eastAsia="宋体" w:cs="宋体"/>
                <w:b w:val="0"/>
                <w:bCs w:val="0"/>
                <w:color w:val="auto"/>
                <w:sz w:val="21"/>
                <w:szCs w:val="21"/>
                <w:highlight w:val="none"/>
                <w:lang w:val="en-US" w:eastAsia="zh-CN"/>
              </w:rPr>
              <w:t>响应</w:t>
            </w:r>
            <w:r>
              <w:rPr>
                <w:rFonts w:hint="eastAsia" w:cs="宋体" w:asciiTheme="minorEastAsia" w:hAnsiTheme="minorEastAsia" w:eastAsiaTheme="minorEastAsia"/>
                <w:color w:val="auto"/>
                <w:szCs w:val="21"/>
                <w:highlight w:val="none"/>
                <w:lang w:val="en-US" w:eastAsia="zh-CN"/>
              </w:rPr>
              <w:t>人员变更需按采购人相关规定进行审批，变更过程中需不少于10个工作日的工作交接，且需保证服务不中断、不影响服务工作质量和效果。</w:t>
            </w:r>
          </w:p>
          <w:p w14:paraId="09B15706">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5.安全管理要求：投标人委派的本项目全部服务人员应符合采购人网络安全及保密相关规定要求，项目团队成员需签订《网络与信息安全责任书》《保密承诺函》。</w:t>
            </w:r>
          </w:p>
          <w:p w14:paraId="7EE5FF14">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default" w:ascii="宋体" w:hAnsi="宋体" w:eastAsia="宋体" w:cs="宋体"/>
                <w:b w:val="0"/>
                <w:bCs w:val="0"/>
                <w:color w:val="auto"/>
                <w:kern w:val="2"/>
                <w:sz w:val="21"/>
                <w:szCs w:val="21"/>
                <w:highlight w:val="none"/>
                <w:lang w:val="en-US" w:eastAsia="zh-CN" w:bidi="ar-SA"/>
              </w:rPr>
            </w:pPr>
            <w:r>
              <w:rPr>
                <w:rFonts w:hint="eastAsia" w:cs="宋体" w:asciiTheme="minorEastAsia" w:hAnsiTheme="minorEastAsia" w:eastAsiaTheme="minorEastAsia"/>
                <w:color w:val="auto"/>
                <w:szCs w:val="21"/>
                <w:highlight w:val="none"/>
                <w:lang w:val="en-US" w:eastAsia="zh-CN"/>
              </w:rPr>
              <w:t>6.人员保障要求：重要节点、重大活动等特殊时期情况下产生的人员加班费、用餐费、交通费等费用由投标人完全承担。服务人员劳动合同内的工资、奖金、福利待遇及其他一切费用由投标人完全承担。服务人员的社会保险、健康检查、安全教育等内容由投标人完全承担。投标人应关注服务人员的身心健康，做好安全教育工作，如现场服务</w:t>
            </w:r>
            <w:r>
              <w:rPr>
                <w:rFonts w:hint="eastAsia" w:ascii="宋体" w:hAnsi="宋体" w:eastAsia="宋体" w:cs="宋体"/>
                <w:b w:val="0"/>
                <w:bCs w:val="0"/>
                <w:color w:val="auto"/>
                <w:sz w:val="21"/>
                <w:szCs w:val="21"/>
                <w:highlight w:val="none"/>
                <w:lang w:val="en-US" w:eastAsia="zh-CN"/>
              </w:rPr>
              <w:t>响应</w:t>
            </w:r>
            <w:r>
              <w:rPr>
                <w:rFonts w:hint="eastAsia" w:cs="宋体" w:asciiTheme="minorEastAsia" w:hAnsiTheme="minorEastAsia" w:eastAsiaTheme="minorEastAsia"/>
                <w:color w:val="auto"/>
                <w:szCs w:val="21"/>
                <w:highlight w:val="none"/>
                <w:lang w:val="en-US" w:eastAsia="zh-CN"/>
              </w:rPr>
              <w:t>人员发生人身安全事故，由投标人负责。</w:t>
            </w:r>
          </w:p>
          <w:p w14:paraId="7FC1EE42">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2" w:firstLineChars="200"/>
              <w:textAlignment w:val="auto"/>
              <w:rPr>
                <w:rFonts w:hint="eastAsia" w:ascii="Times New Roman" w:hAnsi="Times New Roman" w:eastAsia="宋体" w:cs="宋体"/>
                <w:b/>
                <w:bCs w:val="0"/>
                <w:color w:val="auto"/>
                <w:sz w:val="21"/>
                <w:szCs w:val="21"/>
                <w:highlight w:val="none"/>
              </w:rPr>
            </w:pPr>
            <w:bookmarkStart w:id="1" w:name="_Toc466973014"/>
            <w:bookmarkStart w:id="2" w:name="_Toc320110884"/>
            <w:r>
              <w:rPr>
                <w:rFonts w:hint="eastAsia" w:ascii="Times New Roman" w:hAnsi="Times New Roman" w:eastAsia="宋体" w:cs="宋体"/>
                <w:b/>
                <w:bCs w:val="0"/>
                <w:color w:val="auto"/>
                <w:sz w:val="21"/>
                <w:szCs w:val="21"/>
                <w:highlight w:val="none"/>
                <w:lang w:val="en-US" w:eastAsia="zh-CN"/>
              </w:rPr>
              <w:t>项目</w:t>
            </w:r>
            <w:r>
              <w:rPr>
                <w:rFonts w:hint="eastAsia" w:ascii="Times New Roman" w:hAnsi="Times New Roman" w:eastAsia="宋体" w:cs="宋体"/>
                <w:b/>
                <w:bCs w:val="0"/>
                <w:color w:val="auto"/>
                <w:sz w:val="21"/>
                <w:szCs w:val="21"/>
                <w:highlight w:val="none"/>
              </w:rPr>
              <w:t>报价</w:t>
            </w:r>
            <w:bookmarkEnd w:id="1"/>
          </w:p>
          <w:bookmarkEnd w:id="2"/>
          <w:p w14:paraId="6441AE55">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本项目报价以人民币报价。投标报价为综合报价，报价包含人员成本、差旅、税金、管理费、合理利润等所有费用。投标人只能有一套报价方案。</w:t>
            </w:r>
          </w:p>
          <w:p w14:paraId="10CF1F70">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2" w:firstLineChars="200"/>
              <w:textAlignment w:val="auto"/>
              <w:rPr>
                <w:rFonts w:hint="eastAsia" w:ascii="Times New Roman" w:hAnsi="Times New Roman" w:eastAsia="宋体" w:cs="宋体"/>
                <w:b/>
                <w:bCs w:val="0"/>
                <w:color w:val="auto"/>
                <w:sz w:val="21"/>
                <w:szCs w:val="21"/>
                <w:highlight w:val="none"/>
              </w:rPr>
            </w:pPr>
            <w:r>
              <w:rPr>
                <w:rFonts w:hint="eastAsia" w:ascii="Times New Roman" w:hAnsi="Times New Roman" w:eastAsia="宋体" w:cs="宋体"/>
                <w:b/>
                <w:bCs w:val="0"/>
                <w:color w:val="auto"/>
                <w:sz w:val="21"/>
                <w:szCs w:val="21"/>
                <w:highlight w:val="none"/>
              </w:rPr>
              <w:t>知识产权</w:t>
            </w:r>
          </w:p>
          <w:p w14:paraId="2822F293">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1.采购人在中华人民共和国境内使用投标人提供的货物及服务时免受第三方提出的侵犯其专利权或其它知识产权的起诉。如果第三方提出侵权指控，投标人应承担由此而引起的一切法律责任和费用。</w:t>
            </w:r>
          </w:p>
          <w:p w14:paraId="03883C75">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2.</w:t>
            </w:r>
            <w:r>
              <w:rPr>
                <w:rFonts w:hint="eastAsia" w:ascii="宋体" w:hAnsi="宋体" w:eastAsia="宋体" w:cs="Times New Roman"/>
                <w:snapToGrid/>
                <w:color w:val="auto"/>
                <w:spacing w:val="0"/>
                <w:sz w:val="21"/>
                <w:szCs w:val="21"/>
                <w:highlight w:val="none"/>
              </w:rPr>
              <w:t>投标人提供</w:t>
            </w:r>
            <w:r>
              <w:rPr>
                <w:rFonts w:hint="eastAsia" w:ascii="宋体" w:hAnsi="宋体" w:eastAsia="宋体" w:cs="Times New Roman"/>
                <w:snapToGrid/>
                <w:color w:val="auto"/>
                <w:spacing w:val="0"/>
                <w:sz w:val="21"/>
                <w:szCs w:val="21"/>
                <w:highlight w:val="none"/>
                <w:lang w:val="en-US" w:eastAsia="zh-CN"/>
              </w:rPr>
              <w:t>服务所需的</w:t>
            </w:r>
            <w:r>
              <w:rPr>
                <w:rFonts w:hint="eastAsia" w:ascii="宋体" w:hAnsi="宋体" w:eastAsia="宋体" w:cs="Times New Roman"/>
                <w:snapToGrid/>
                <w:color w:val="auto"/>
                <w:spacing w:val="0"/>
                <w:sz w:val="21"/>
                <w:szCs w:val="21"/>
                <w:highlight w:val="none"/>
              </w:rPr>
              <w:t>产品</w:t>
            </w:r>
            <w:r>
              <w:rPr>
                <w:rFonts w:hint="eastAsia" w:ascii="宋体" w:hAnsi="宋体" w:eastAsia="宋体" w:cs="Times New Roman"/>
                <w:snapToGrid/>
                <w:color w:val="auto"/>
                <w:spacing w:val="0"/>
                <w:sz w:val="21"/>
                <w:szCs w:val="21"/>
                <w:highlight w:val="none"/>
                <w:lang w:val="en-US" w:eastAsia="zh-CN"/>
              </w:rPr>
              <w:t>应</w:t>
            </w:r>
            <w:r>
              <w:rPr>
                <w:rFonts w:hint="eastAsia" w:ascii="宋体" w:hAnsi="宋体" w:eastAsia="宋体" w:cs="Times New Roman"/>
                <w:snapToGrid/>
                <w:color w:val="auto"/>
                <w:spacing w:val="0"/>
                <w:sz w:val="21"/>
                <w:szCs w:val="21"/>
                <w:highlight w:val="none"/>
              </w:rPr>
              <w:t>符合国家质量检测标准。投标人因提供本合同服务所产生的所有成果的知识产权归属采购人所有。</w:t>
            </w:r>
          </w:p>
          <w:p w14:paraId="61008BE6">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2" w:firstLineChars="200"/>
              <w:textAlignment w:val="auto"/>
              <w:rPr>
                <w:rFonts w:hint="eastAsia" w:ascii="Times New Roman" w:hAnsi="Times New Roman" w:eastAsia="宋体" w:cs="宋体"/>
                <w:b/>
                <w:bCs w:val="0"/>
                <w:color w:val="auto"/>
                <w:sz w:val="21"/>
                <w:szCs w:val="21"/>
                <w:highlight w:val="none"/>
                <w:lang w:val="en-US" w:eastAsia="zh-CN"/>
              </w:rPr>
            </w:pPr>
            <w:r>
              <w:rPr>
                <w:rFonts w:hint="eastAsia" w:ascii="Times New Roman" w:hAnsi="Times New Roman" w:eastAsia="宋体" w:cs="宋体"/>
                <w:b/>
                <w:bCs w:val="0"/>
                <w:color w:val="auto"/>
                <w:sz w:val="21"/>
                <w:szCs w:val="21"/>
                <w:highlight w:val="none"/>
                <w:lang w:val="en-US" w:eastAsia="zh-CN"/>
              </w:rPr>
              <w:t>违约责任</w:t>
            </w:r>
          </w:p>
          <w:p w14:paraId="08042CFD">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1.投标人必须严格按照相关法律法规做好招标文件的保密工作，不得向任何公司和个人泄露相关项目的招标资料及文件内容。如发生资料泄露事件，将依法追究相关责任。</w:t>
            </w:r>
          </w:p>
          <w:p w14:paraId="707A25E1">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2.中标人应提供优质服务，确保交付成果达到采购人要求，如因投标人原因导致未能通过采购人项目验收，采购人有权将中标人履约情况上报深圳市政府采购主管部门，作为供应商履约评价。</w:t>
            </w:r>
          </w:p>
          <w:p w14:paraId="3D0376B8">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3.中标人违反合同及其附件约定的任何义务，采购人有权在项目合同款中直接扣除中标人应向采购人支付的违约金或损失赔偿额。如有不足的，中标人应对超过的部分予以赔偿。</w:t>
            </w:r>
          </w:p>
          <w:p w14:paraId="6505FD38">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2" w:firstLineChars="200"/>
              <w:textAlignment w:val="auto"/>
              <w:rPr>
                <w:rFonts w:hint="eastAsia" w:ascii="Times New Roman" w:hAnsi="Times New Roman" w:eastAsia="宋体" w:cs="宋体"/>
                <w:b/>
                <w:bCs w:val="0"/>
                <w:color w:val="auto"/>
                <w:sz w:val="21"/>
                <w:szCs w:val="21"/>
                <w:highlight w:val="none"/>
                <w:lang w:val="en-US" w:eastAsia="zh-CN"/>
              </w:rPr>
            </w:pPr>
            <w:bookmarkStart w:id="3" w:name="_Toc466973015"/>
            <w:r>
              <w:rPr>
                <w:rFonts w:hint="eastAsia" w:ascii="Times New Roman" w:hAnsi="Times New Roman" w:eastAsia="宋体" w:cs="宋体"/>
                <w:b/>
                <w:bCs w:val="0"/>
                <w:color w:val="auto"/>
                <w:sz w:val="21"/>
                <w:szCs w:val="21"/>
                <w:highlight w:val="none"/>
                <w:lang w:val="en-US" w:eastAsia="zh-CN"/>
              </w:rPr>
              <w:t>其它</w:t>
            </w:r>
            <w:bookmarkEnd w:id="3"/>
          </w:p>
          <w:p w14:paraId="3AF9EED2">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其他未尽事宜由供需双方在采购合同中详细约定。</w:t>
            </w:r>
          </w:p>
        </w:tc>
      </w:tr>
      <w:tr w14:paraId="1DFB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tcBorders>
              <w:tl2br w:val="nil"/>
              <w:tr2bl w:val="nil"/>
            </w:tcBorders>
            <w:vAlign w:val="center"/>
          </w:tcPr>
          <w:p w14:paraId="68D41FF1">
            <w:pPr>
              <w:keepNext w:val="0"/>
              <w:keepLines w:val="0"/>
              <w:pageBreakBefore w:val="0"/>
              <w:kinsoku/>
              <w:wordWrap/>
              <w:overflowPunct/>
              <w:topLinePunct w:val="0"/>
              <w:bidi w:val="0"/>
              <w:adjustRightInd/>
              <w:snapToGrid/>
              <w:ind w:left="0" w:leftChars="0"/>
              <w:jc w:val="center"/>
              <w:textAlignment w:val="auto"/>
              <w:rPr>
                <w:rFonts w:hint="eastAsia"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eastAsiaTheme="minorEastAsia"/>
                <w:color w:val="auto"/>
                <w:kern w:val="0"/>
                <w:szCs w:val="21"/>
                <w:highlight w:val="none"/>
                <w:lang w:val="en-US" w:eastAsia="zh-CN"/>
              </w:rPr>
              <w:t>异常低价</w:t>
            </w:r>
          </w:p>
          <w:p w14:paraId="47C67A14">
            <w:pPr>
              <w:keepNext w:val="0"/>
              <w:keepLines w:val="0"/>
              <w:pageBreakBefore w:val="0"/>
              <w:kinsoku/>
              <w:wordWrap/>
              <w:overflowPunct/>
              <w:topLinePunct w:val="0"/>
              <w:bidi w:val="0"/>
              <w:adjustRightInd/>
              <w:snapToGrid/>
              <w:ind w:left="0" w:leftChars="0"/>
              <w:jc w:val="center"/>
              <w:textAlignment w:val="auto"/>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eastAsiaTheme="minorEastAsia"/>
                <w:color w:val="auto"/>
                <w:kern w:val="0"/>
                <w:szCs w:val="21"/>
                <w:highlight w:val="none"/>
                <w:lang w:val="en-US" w:eastAsia="zh-CN"/>
              </w:rPr>
              <w:t>说明</w:t>
            </w:r>
          </w:p>
        </w:tc>
        <w:tc>
          <w:tcPr>
            <w:tcW w:w="4283" w:type="pct"/>
            <w:gridSpan w:val="10"/>
            <w:tcBorders>
              <w:tl2br w:val="nil"/>
              <w:tr2bl w:val="nil"/>
            </w:tcBorders>
            <w:vAlign w:val="center"/>
          </w:tcPr>
          <w:p w14:paraId="2138A3E8">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根据《关于推动解决政府采购异常低价问题的通知》 （财库〔2026〕2号）要求，结合本项目实际情况，本项目评审中出现下列异常低价情形之一的，评审委员会应当启动异常低价投标（响应）审查程序：</w:t>
            </w:r>
          </w:p>
          <w:p w14:paraId="4F234593">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1.异常低价情形：</w:t>
            </w:r>
          </w:p>
          <w:p w14:paraId="1BF4C30A">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（1）投标（响应）报价低于全部通过符合性审查供应商投标（响应）报价平均值50%，即投标（响应）报价&lt;全部通过符合性审查供应商投标（响应）报价平均值×50%；</w:t>
            </w:r>
          </w:p>
          <w:p w14:paraId="46667294">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（2）投标（响应）报价低于通过符合性审查的次低报价供应商投标（响应）报价50%，即投标（响应）报价&lt;通过符合性审查的次低报价供应商投标（响应）报价×50%；</w:t>
            </w:r>
          </w:p>
          <w:p w14:paraId="0CE8B31F">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（3）投标（响应）报价低于采购项目最高限价50%，即投标（响应）报价&lt;采购项目最高限价×50%；</w:t>
            </w:r>
          </w:p>
          <w:p w14:paraId="798E7591">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（4）评审委员会基于专业判断，认为供应商报价过低，有可能影响产品质量或者不能诚信履约的其他情形。</w:t>
            </w:r>
          </w:p>
          <w:p w14:paraId="05D64FA5">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注：相关法律法规对供应商报价有规定的，从其规定。</w:t>
            </w:r>
          </w:p>
          <w:p w14:paraId="7E6C734A">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提供书面说明及必要的证明材料的时间为30分钟（采购人可以根据实际修改此处时间（时间≧30分钟））。其中，属于第（3）项情形，供应商已随投标（响应）文件一并提交相关书面说明及必要的证明材料的，在评审现场可不再重复提交。</w:t>
            </w:r>
          </w:p>
          <w:p w14:paraId="5CAC70CC">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E35A8AD">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lang w:val="en-US" w:eastAsia="zh-CN"/>
              </w:rPr>
              <w:t>4.异常低价投标（响应）审查的启动原因、审查意见和审查结果将在评审报告中记录，并随供应商提供的相关书面说明及证明材料，以及评审委员会有关互联网浏览、查询历史一并归档。</w:t>
            </w:r>
          </w:p>
        </w:tc>
      </w:tr>
      <w:tr w14:paraId="55A8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tcBorders>
              <w:tl2br w:val="nil"/>
              <w:tr2bl w:val="nil"/>
            </w:tcBorders>
            <w:vAlign w:val="center"/>
          </w:tcPr>
          <w:p w14:paraId="1118B431">
            <w:pPr>
              <w:keepNext w:val="0"/>
              <w:keepLines w:val="0"/>
              <w:pageBreakBefore w:val="0"/>
              <w:kinsoku/>
              <w:wordWrap/>
              <w:overflowPunct/>
              <w:topLinePunct w:val="0"/>
              <w:bidi w:val="0"/>
              <w:adjustRightInd/>
              <w:snapToGrid/>
              <w:ind w:left="0" w:leftChars="0"/>
              <w:jc w:val="center"/>
              <w:textAlignment w:val="auto"/>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评标信息</w:t>
            </w:r>
          </w:p>
        </w:tc>
        <w:tc>
          <w:tcPr>
            <w:tcW w:w="4283" w:type="pct"/>
            <w:gridSpan w:val="10"/>
            <w:tcBorders>
              <w:tl2br w:val="nil"/>
              <w:tr2bl w:val="nil"/>
            </w:tcBorders>
            <w:vAlign w:val="center"/>
          </w:tcPr>
          <w:p w14:paraId="4B0ECAFD">
            <w:pPr>
              <w:keepNext w:val="0"/>
              <w:keepLines w:val="0"/>
              <w:pageBreakBefore w:val="0"/>
              <w:kinsoku/>
              <w:wordWrap/>
              <w:overflowPunct/>
              <w:topLinePunct w:val="0"/>
              <w:bidi w:val="0"/>
              <w:adjustRightInd/>
              <w:snapToGrid/>
              <w:spacing w:line="240" w:lineRule="auto"/>
              <w:ind w:left="0" w:leftChars="0" w:firstLine="420" w:firstLineChars="200"/>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综合评分法，是指投标文件满足招标文件全部实质性要求，且按照评审因素的量化指标评审得分最高的投标人为中标候选人的评标方法。</w:t>
            </w:r>
          </w:p>
          <w:p w14:paraId="180AB567">
            <w:pPr>
              <w:keepNext w:val="0"/>
              <w:keepLines w:val="0"/>
              <w:pageBreakBefore w:val="0"/>
              <w:kinsoku/>
              <w:wordWrap/>
              <w:overflowPunct/>
              <w:topLinePunct w:val="0"/>
              <w:bidi w:val="0"/>
              <w:adjustRightInd/>
              <w:snapToGrid/>
              <w:spacing w:line="240" w:lineRule="auto"/>
              <w:ind w:left="0" w:leftChars="0" w:firstLine="420" w:firstLineChars="200"/>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价格分计算方法：</w:t>
            </w:r>
          </w:p>
          <w:p w14:paraId="4122CE10">
            <w:pPr>
              <w:keepNext w:val="0"/>
              <w:keepLines w:val="0"/>
              <w:pageBreakBefore w:val="0"/>
              <w:kinsoku/>
              <w:wordWrap/>
              <w:overflowPunct/>
              <w:topLinePunct w:val="0"/>
              <w:bidi w:val="0"/>
              <w:adjustRightInd/>
              <w:snapToGrid/>
              <w:spacing w:line="240" w:lineRule="auto"/>
              <w:ind w:left="0" w:leftChars="0" w:firstLine="420"/>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采用低价优先法计算，即满足招标文件要求且投标价格最低的投标报价为评标基准价，其价格分为满分。其他投标人的价格分统一按照下列公式计算：</w:t>
            </w:r>
          </w:p>
          <w:p w14:paraId="3FC0B988">
            <w:pPr>
              <w:keepNext w:val="0"/>
              <w:keepLines w:val="0"/>
              <w:pageBreakBefore w:val="0"/>
              <w:kinsoku/>
              <w:wordWrap/>
              <w:overflowPunct/>
              <w:topLinePunct w:val="0"/>
              <w:bidi w:val="0"/>
              <w:adjustRightInd/>
              <w:snapToGrid/>
              <w:spacing w:line="240" w:lineRule="auto"/>
              <w:ind w:left="0" w:leftChars="0" w:firstLine="420"/>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投标报价得分=(评标基准价／投标报价)×100</w:t>
            </w:r>
          </w:p>
          <w:p w14:paraId="3001910E">
            <w:pPr>
              <w:keepNext w:val="0"/>
              <w:keepLines w:val="0"/>
              <w:pageBreakBefore w:val="0"/>
              <w:kinsoku/>
              <w:wordWrap/>
              <w:overflowPunct/>
              <w:topLinePunct w:val="0"/>
              <w:bidi w:val="0"/>
              <w:adjustRightInd/>
              <w:snapToGrid/>
              <w:spacing w:line="240" w:lineRule="auto"/>
              <w:ind w:left="0" w:leftChars="0" w:firstLine="420"/>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评标总得分＝F1×A1＋F2×A2＋……＋Fn×An</w:t>
            </w:r>
          </w:p>
          <w:p w14:paraId="67451479">
            <w:pPr>
              <w:keepNext w:val="0"/>
              <w:keepLines w:val="0"/>
              <w:pageBreakBefore w:val="0"/>
              <w:kinsoku/>
              <w:wordWrap/>
              <w:overflowPunct/>
              <w:topLinePunct w:val="0"/>
              <w:bidi w:val="0"/>
              <w:adjustRightInd/>
              <w:snapToGrid/>
              <w:spacing w:line="240" w:lineRule="auto"/>
              <w:ind w:left="0" w:leftChars="0" w:firstLine="420"/>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F1、F2……Fn分别为各项评审因素的得分；</w:t>
            </w:r>
          </w:p>
          <w:p w14:paraId="4137749B">
            <w:pPr>
              <w:keepNext w:val="0"/>
              <w:keepLines w:val="0"/>
              <w:pageBreakBefore w:val="0"/>
              <w:kinsoku/>
              <w:wordWrap/>
              <w:overflowPunct/>
              <w:topLinePunct w:val="0"/>
              <w:bidi w:val="0"/>
              <w:adjustRightInd/>
              <w:snapToGrid/>
              <w:spacing w:line="240" w:lineRule="auto"/>
              <w:ind w:left="0" w:leftChars="0" w:firstLine="420"/>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A1、A2……An 分别为各项评审因素所占的权重(A1＋A2＋……＋An＝1)。</w:t>
            </w:r>
          </w:p>
          <w:p w14:paraId="35BF26EF">
            <w:pPr>
              <w:keepNext w:val="0"/>
              <w:keepLines w:val="0"/>
              <w:pageBreakBefore w:val="0"/>
              <w:kinsoku/>
              <w:wordWrap/>
              <w:overflowPunct/>
              <w:topLinePunct w:val="0"/>
              <w:bidi w:val="0"/>
              <w:adjustRightInd/>
              <w:snapToGrid/>
              <w:spacing w:line="240" w:lineRule="auto"/>
              <w:ind w:left="0" w:leftChars="0" w:firstLine="420"/>
              <w:textAlignment w:val="auto"/>
              <w:rPr>
                <w:rFonts w:asciiTheme="minorEastAsia" w:hAnsiTheme="minorEastAsia" w:eastAsiaTheme="minorEastAsia"/>
                <w:color w:val="auto"/>
                <w:szCs w:val="21"/>
                <w:highlight w:val="none"/>
              </w:rPr>
            </w:pPr>
            <w:r>
              <w:rPr>
                <w:rFonts w:ascii="Times New Roman" w:hAnsi="Times New Roman" w:eastAsia="宋体"/>
                <w:color w:val="auto"/>
                <w:sz w:val="21"/>
                <w:szCs w:val="21"/>
                <w:highlight w:val="none"/>
              </w:rPr>
              <w:t>评标过程中，不得去掉报价中的最高报价和最低报价。</w:t>
            </w:r>
          </w:p>
          <w:tbl>
            <w:tblPr>
              <w:tblStyle w:val="23"/>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4"/>
              <w:gridCol w:w="425"/>
              <w:gridCol w:w="673"/>
              <w:gridCol w:w="452"/>
              <w:gridCol w:w="5744"/>
            </w:tblGrid>
            <w:tr w14:paraId="29D981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tcBorders>
                    <w:tl2br w:val="nil"/>
                    <w:tr2bl w:val="nil"/>
                  </w:tcBorders>
                  <w:shd w:val="clear" w:color="auto" w:fill="auto"/>
                  <w:vAlign w:val="center"/>
                </w:tcPr>
                <w:p w14:paraId="02FDDEC3">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序号</w:t>
                  </w:r>
                </w:p>
              </w:tc>
              <w:tc>
                <w:tcPr>
                  <w:tcW w:w="1004" w:type="pct"/>
                  <w:gridSpan w:val="3"/>
                  <w:tcBorders>
                    <w:tl2br w:val="nil"/>
                    <w:tr2bl w:val="nil"/>
                  </w:tcBorders>
                  <w:shd w:val="clear" w:color="auto" w:fill="auto"/>
                  <w:vAlign w:val="center"/>
                </w:tcPr>
                <w:p w14:paraId="7D39F8B2">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评分项</w:t>
                  </w:r>
                </w:p>
              </w:tc>
              <w:tc>
                <w:tcPr>
                  <w:tcW w:w="3721" w:type="pct"/>
                  <w:tcBorders>
                    <w:tl2br w:val="nil"/>
                    <w:tr2bl w:val="nil"/>
                  </w:tcBorders>
                  <w:shd w:val="clear" w:color="auto" w:fill="auto"/>
                  <w:vAlign w:val="center"/>
                </w:tcPr>
                <w:p w14:paraId="5E3EB525">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权重</w:t>
                  </w:r>
                </w:p>
              </w:tc>
            </w:tr>
            <w:tr w14:paraId="57CE62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tcBorders>
                    <w:tl2br w:val="nil"/>
                    <w:tr2bl w:val="nil"/>
                  </w:tcBorders>
                  <w:shd w:val="clear" w:color="auto" w:fill="auto"/>
                  <w:vAlign w:val="center"/>
                </w:tcPr>
                <w:p w14:paraId="17D23CAA">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b/>
                      <w:bCs/>
                      <w:color w:val="auto"/>
                      <w:kern w:val="0"/>
                      <w:szCs w:val="21"/>
                      <w:highlight w:val="none"/>
                    </w:rPr>
                  </w:pPr>
                  <w:r>
                    <w:rPr>
                      <w:rFonts w:hint="eastAsia" w:ascii="Times New Roman" w:hAnsi="Times New Roman" w:eastAsia="宋体" w:cs="宋体"/>
                      <w:b/>
                      <w:bCs/>
                      <w:color w:val="auto"/>
                      <w:kern w:val="0"/>
                      <w:szCs w:val="21"/>
                      <w:highlight w:val="none"/>
                    </w:rPr>
                    <w:t>1</w:t>
                  </w:r>
                </w:p>
              </w:tc>
              <w:tc>
                <w:tcPr>
                  <w:tcW w:w="1004" w:type="pct"/>
                  <w:gridSpan w:val="3"/>
                  <w:tcBorders>
                    <w:tl2br w:val="nil"/>
                    <w:tr2bl w:val="nil"/>
                  </w:tcBorders>
                  <w:shd w:val="clear" w:color="auto" w:fill="auto"/>
                  <w:vAlign w:val="center"/>
                </w:tcPr>
                <w:p w14:paraId="53365945">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b/>
                      <w:bCs/>
                      <w:color w:val="auto"/>
                      <w:kern w:val="0"/>
                      <w:szCs w:val="21"/>
                      <w:highlight w:val="none"/>
                    </w:rPr>
                  </w:pPr>
                  <w:r>
                    <w:rPr>
                      <w:rFonts w:hint="eastAsia" w:ascii="Times New Roman" w:hAnsi="Times New Roman" w:eastAsia="宋体" w:cs="宋体"/>
                      <w:b/>
                      <w:bCs/>
                      <w:color w:val="auto"/>
                      <w:kern w:val="0"/>
                      <w:szCs w:val="21"/>
                      <w:highlight w:val="none"/>
                    </w:rPr>
                    <w:t>价格</w:t>
                  </w:r>
                </w:p>
              </w:tc>
              <w:tc>
                <w:tcPr>
                  <w:tcW w:w="3721" w:type="pct"/>
                  <w:tcBorders>
                    <w:tl2br w:val="nil"/>
                    <w:tr2bl w:val="nil"/>
                  </w:tcBorders>
                  <w:shd w:val="clear" w:color="auto" w:fill="auto"/>
                  <w:vAlign w:val="center"/>
                </w:tcPr>
                <w:p w14:paraId="7905357D">
                  <w:pPr>
                    <w:keepNext w:val="0"/>
                    <w:keepLines w:val="0"/>
                    <w:pageBreakBefore w:val="0"/>
                    <w:widowControl/>
                    <w:kinsoku/>
                    <w:wordWrap/>
                    <w:overflowPunct/>
                    <w:topLinePunct w:val="0"/>
                    <w:bidi w:val="0"/>
                    <w:adjustRightInd/>
                    <w:snapToGrid/>
                    <w:ind w:left="0" w:leftChars="0"/>
                    <w:jc w:val="center"/>
                    <w:textAlignment w:val="auto"/>
                    <w:rPr>
                      <w:rFonts w:hint="default" w:ascii="Times New Roman" w:hAnsi="Times New Roman" w:eastAsia="宋体" w:cs="宋体"/>
                      <w:b/>
                      <w:bCs/>
                      <w:color w:val="auto"/>
                      <w:kern w:val="0"/>
                      <w:szCs w:val="21"/>
                      <w:highlight w:val="none"/>
                      <w:lang w:val="en-US" w:eastAsia="zh-CN"/>
                    </w:rPr>
                  </w:pPr>
                  <w:r>
                    <w:rPr>
                      <w:rFonts w:hint="eastAsia" w:ascii="Times New Roman" w:hAnsi="Times New Roman" w:eastAsia="宋体" w:cs="宋体"/>
                      <w:b/>
                      <w:bCs/>
                      <w:color w:val="auto"/>
                      <w:kern w:val="0"/>
                      <w:szCs w:val="21"/>
                      <w:highlight w:val="none"/>
                      <w:lang w:val="en-US" w:eastAsia="zh-CN"/>
                    </w:rPr>
                    <w:t>10</w:t>
                  </w:r>
                </w:p>
              </w:tc>
            </w:tr>
            <w:tr w14:paraId="6F6F3B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tcBorders>
                    <w:tl2br w:val="nil"/>
                    <w:tr2bl w:val="nil"/>
                  </w:tcBorders>
                  <w:shd w:val="clear" w:color="auto" w:fill="auto"/>
                  <w:vAlign w:val="center"/>
                </w:tcPr>
                <w:p w14:paraId="2953A785">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b/>
                      <w:bCs/>
                      <w:color w:val="auto"/>
                      <w:kern w:val="0"/>
                      <w:szCs w:val="21"/>
                      <w:highlight w:val="none"/>
                    </w:rPr>
                  </w:pPr>
                  <w:r>
                    <w:rPr>
                      <w:rFonts w:hint="eastAsia" w:ascii="Times New Roman" w:hAnsi="Times New Roman" w:eastAsia="宋体" w:cs="宋体"/>
                      <w:b/>
                      <w:bCs/>
                      <w:color w:val="auto"/>
                      <w:kern w:val="0"/>
                      <w:szCs w:val="21"/>
                      <w:highlight w:val="none"/>
                    </w:rPr>
                    <w:t>2</w:t>
                  </w:r>
                </w:p>
              </w:tc>
              <w:tc>
                <w:tcPr>
                  <w:tcW w:w="1004" w:type="pct"/>
                  <w:gridSpan w:val="3"/>
                  <w:tcBorders>
                    <w:tl2br w:val="nil"/>
                    <w:tr2bl w:val="nil"/>
                  </w:tcBorders>
                  <w:shd w:val="clear" w:color="auto" w:fill="auto"/>
                  <w:vAlign w:val="center"/>
                </w:tcPr>
                <w:p w14:paraId="49C9B7C8">
                  <w:pPr>
                    <w:keepNext w:val="0"/>
                    <w:keepLines w:val="0"/>
                    <w:pageBreakBefore w:val="0"/>
                    <w:widowControl/>
                    <w:kinsoku/>
                    <w:wordWrap/>
                    <w:overflowPunct/>
                    <w:topLinePunct w:val="0"/>
                    <w:bidi w:val="0"/>
                    <w:adjustRightInd/>
                    <w:snapToGrid/>
                    <w:ind w:left="0" w:leftChars="0"/>
                    <w:jc w:val="center"/>
                    <w:textAlignment w:val="auto"/>
                    <w:rPr>
                      <w:rFonts w:hint="default" w:ascii="Times New Roman" w:hAnsi="Times New Roman" w:eastAsia="宋体" w:cs="宋体"/>
                      <w:b/>
                      <w:bCs/>
                      <w:color w:val="auto"/>
                      <w:kern w:val="0"/>
                      <w:szCs w:val="21"/>
                      <w:highlight w:val="none"/>
                      <w:lang w:val="en-US" w:eastAsia="zh-CN"/>
                    </w:rPr>
                  </w:pPr>
                  <w:r>
                    <w:rPr>
                      <w:rFonts w:hint="eastAsia" w:ascii="Times New Roman" w:hAnsi="Times New Roman" w:eastAsia="宋体" w:cs="宋体"/>
                      <w:b/>
                      <w:bCs/>
                      <w:color w:val="auto"/>
                      <w:kern w:val="0"/>
                      <w:szCs w:val="21"/>
                      <w:highlight w:val="none"/>
                    </w:rPr>
                    <w:t>技术</w:t>
                  </w:r>
                  <w:r>
                    <w:rPr>
                      <w:rFonts w:hint="eastAsia" w:ascii="Times New Roman" w:hAnsi="Times New Roman" w:eastAsia="宋体" w:cs="宋体"/>
                      <w:b/>
                      <w:bCs/>
                      <w:color w:val="auto"/>
                      <w:kern w:val="0"/>
                      <w:szCs w:val="21"/>
                      <w:highlight w:val="none"/>
                      <w:lang w:val="en-US" w:eastAsia="zh-CN"/>
                    </w:rPr>
                    <w:t>部分</w:t>
                  </w:r>
                </w:p>
              </w:tc>
              <w:tc>
                <w:tcPr>
                  <w:tcW w:w="3721" w:type="pct"/>
                  <w:tcBorders>
                    <w:tl2br w:val="nil"/>
                    <w:tr2bl w:val="nil"/>
                  </w:tcBorders>
                  <w:shd w:val="clear" w:color="auto" w:fill="auto"/>
                  <w:vAlign w:val="center"/>
                </w:tcPr>
                <w:p w14:paraId="64753776">
                  <w:pPr>
                    <w:keepNext w:val="0"/>
                    <w:keepLines w:val="0"/>
                    <w:pageBreakBefore w:val="0"/>
                    <w:widowControl/>
                    <w:kinsoku/>
                    <w:wordWrap/>
                    <w:overflowPunct/>
                    <w:topLinePunct w:val="0"/>
                    <w:bidi w:val="0"/>
                    <w:adjustRightInd/>
                    <w:snapToGrid/>
                    <w:ind w:left="0" w:leftChars="0"/>
                    <w:jc w:val="center"/>
                    <w:textAlignment w:val="auto"/>
                    <w:rPr>
                      <w:rFonts w:hint="default" w:ascii="Times New Roman" w:hAnsi="Times New Roman" w:eastAsia="宋体" w:cs="宋体"/>
                      <w:b/>
                      <w:bCs/>
                      <w:color w:val="auto"/>
                      <w:kern w:val="0"/>
                      <w:szCs w:val="21"/>
                      <w:highlight w:val="none"/>
                      <w:lang w:val="en-US" w:eastAsia="zh-CN"/>
                    </w:rPr>
                  </w:pPr>
                  <w:r>
                    <w:rPr>
                      <w:rFonts w:hint="eastAsia" w:ascii="Times New Roman" w:hAnsi="Times New Roman" w:eastAsia="宋体" w:cs="宋体"/>
                      <w:b/>
                      <w:bCs/>
                      <w:color w:val="auto"/>
                      <w:kern w:val="0"/>
                      <w:szCs w:val="21"/>
                      <w:highlight w:val="none"/>
                      <w:lang w:val="en-US" w:eastAsia="zh-CN"/>
                    </w:rPr>
                    <w:t>59</w:t>
                  </w:r>
                </w:p>
              </w:tc>
            </w:tr>
            <w:tr w14:paraId="59FFD0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vMerge w:val="restart"/>
                  <w:tcBorders>
                    <w:tl2br w:val="nil"/>
                    <w:tr2bl w:val="nil"/>
                  </w:tcBorders>
                  <w:shd w:val="clear" w:color="auto" w:fill="auto"/>
                  <w:vAlign w:val="center"/>
                </w:tcPr>
                <w:p w14:paraId="7E26DCB2">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p>
              </w:tc>
              <w:tc>
                <w:tcPr>
                  <w:tcW w:w="275" w:type="pct"/>
                  <w:tcBorders>
                    <w:tl2br w:val="nil"/>
                    <w:tr2bl w:val="nil"/>
                  </w:tcBorders>
                  <w:shd w:val="clear" w:color="auto" w:fill="auto"/>
                  <w:vAlign w:val="center"/>
                </w:tcPr>
                <w:p w14:paraId="4BB79324">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行号</w:t>
                  </w:r>
                </w:p>
              </w:tc>
              <w:tc>
                <w:tcPr>
                  <w:tcW w:w="435" w:type="pct"/>
                  <w:tcBorders>
                    <w:tl2br w:val="nil"/>
                    <w:tr2bl w:val="nil"/>
                  </w:tcBorders>
                  <w:shd w:val="clear" w:color="auto" w:fill="auto"/>
                  <w:vAlign w:val="center"/>
                </w:tcPr>
                <w:p w14:paraId="3E51C2A2">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内容</w:t>
                  </w:r>
                </w:p>
              </w:tc>
              <w:tc>
                <w:tcPr>
                  <w:tcW w:w="292" w:type="pct"/>
                  <w:tcBorders>
                    <w:tl2br w:val="nil"/>
                    <w:tr2bl w:val="nil"/>
                  </w:tcBorders>
                  <w:shd w:val="clear" w:color="auto" w:fill="auto"/>
                  <w:vAlign w:val="center"/>
                </w:tcPr>
                <w:p w14:paraId="47895BF5">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权重</w:t>
                  </w:r>
                </w:p>
              </w:tc>
              <w:tc>
                <w:tcPr>
                  <w:tcW w:w="3721" w:type="pct"/>
                  <w:tcBorders>
                    <w:tl2br w:val="nil"/>
                    <w:tr2bl w:val="nil"/>
                  </w:tcBorders>
                  <w:shd w:val="clear" w:color="auto" w:fill="auto"/>
                  <w:vAlign w:val="center"/>
                </w:tcPr>
                <w:p w14:paraId="107C424D">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评分准则</w:t>
                  </w:r>
                </w:p>
              </w:tc>
            </w:tr>
            <w:tr w14:paraId="76CB1E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vMerge w:val="continue"/>
                  <w:tcBorders>
                    <w:tl2br w:val="nil"/>
                    <w:tr2bl w:val="nil"/>
                  </w:tcBorders>
                  <w:vAlign w:val="center"/>
                </w:tcPr>
                <w:p w14:paraId="2FECB223">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p>
              </w:tc>
              <w:tc>
                <w:tcPr>
                  <w:tcW w:w="275" w:type="pct"/>
                  <w:tcBorders>
                    <w:tl2br w:val="nil"/>
                    <w:tr2bl w:val="nil"/>
                  </w:tcBorders>
                  <w:shd w:val="clear" w:color="auto" w:fill="auto"/>
                  <w:vAlign w:val="center"/>
                </w:tcPr>
                <w:p w14:paraId="311325B0">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1</w:t>
                  </w:r>
                </w:p>
              </w:tc>
              <w:tc>
                <w:tcPr>
                  <w:tcW w:w="435" w:type="pct"/>
                  <w:tcBorders>
                    <w:tl2br w:val="nil"/>
                    <w:tr2bl w:val="nil"/>
                  </w:tcBorders>
                  <w:shd w:val="clear" w:color="auto" w:fill="auto"/>
                  <w:vAlign w:val="center"/>
                </w:tcPr>
                <w:p w14:paraId="6FFC030C">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项目</w:t>
                  </w:r>
                  <w:r>
                    <w:rPr>
                      <w:rFonts w:hint="eastAsia" w:ascii="Times New Roman" w:hAnsi="Times New Roman" w:eastAsia="宋体" w:cs="宋体"/>
                      <w:color w:val="auto"/>
                      <w:kern w:val="0"/>
                      <w:szCs w:val="21"/>
                      <w:highlight w:val="none"/>
                    </w:rPr>
                    <w:t>实施方案</w:t>
                  </w:r>
                </w:p>
              </w:tc>
              <w:tc>
                <w:tcPr>
                  <w:tcW w:w="292" w:type="pct"/>
                  <w:tcBorders>
                    <w:tl2br w:val="nil"/>
                    <w:tr2bl w:val="nil"/>
                  </w:tcBorders>
                  <w:shd w:val="clear" w:color="auto" w:fill="auto"/>
                  <w:vAlign w:val="center"/>
                </w:tcPr>
                <w:p w14:paraId="36A1A6E7">
                  <w:pPr>
                    <w:keepNext w:val="0"/>
                    <w:keepLines w:val="0"/>
                    <w:pageBreakBefore w:val="0"/>
                    <w:widowControl/>
                    <w:kinsoku/>
                    <w:wordWrap/>
                    <w:overflowPunct/>
                    <w:topLinePunct w:val="0"/>
                    <w:bidi w:val="0"/>
                    <w:adjustRightInd/>
                    <w:snapToGrid/>
                    <w:ind w:left="0" w:leftChars="0"/>
                    <w:jc w:val="center"/>
                    <w:textAlignment w:val="auto"/>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rPr>
                    <w:t>1</w:t>
                  </w:r>
                  <w:r>
                    <w:rPr>
                      <w:rFonts w:hint="eastAsia" w:ascii="Times New Roman" w:hAnsi="Times New Roman" w:eastAsia="宋体" w:cs="宋体"/>
                      <w:color w:val="auto"/>
                      <w:kern w:val="0"/>
                      <w:szCs w:val="21"/>
                      <w:highlight w:val="none"/>
                      <w:lang w:val="en-US" w:eastAsia="zh-CN"/>
                    </w:rPr>
                    <w:t>0</w:t>
                  </w:r>
                </w:p>
              </w:tc>
              <w:tc>
                <w:tcPr>
                  <w:tcW w:w="3721" w:type="pct"/>
                  <w:tcBorders>
                    <w:tl2br w:val="nil"/>
                    <w:tr2bl w:val="nil"/>
                  </w:tcBorders>
                  <w:shd w:val="clear" w:color="auto" w:fill="auto"/>
                  <w:vAlign w:val="center"/>
                </w:tcPr>
                <w:p w14:paraId="64177A59">
                  <w:pPr>
                    <w:keepNext w:val="0"/>
                    <w:keepLines w:val="0"/>
                    <w:pageBreakBefore w:val="0"/>
                    <w:widowControl w:val="0"/>
                    <w:tabs>
                      <w:tab w:val="left" w:pos="5670"/>
                    </w:tabs>
                    <w:kinsoku/>
                    <w:wordWrap/>
                    <w:overflowPunct/>
                    <w:topLinePunct w:val="0"/>
                    <w:autoSpaceDE/>
                    <w:autoSpaceDN/>
                    <w:bidi w:val="0"/>
                    <w:adjustRightInd/>
                    <w:snapToGrid/>
                    <w:spacing w:line="240" w:lineRule="auto"/>
                    <w:ind w:left="0" w:leftChars="0"/>
                    <w:jc w:val="both"/>
                    <w:textAlignment w:val="auto"/>
                    <w:rPr>
                      <w:rFonts w:hint="eastAsia" w:ascii="Times New Roman" w:hAnsi="Times New Roman" w:eastAsia="宋体" w:cs="宋体"/>
                      <w:color w:val="auto"/>
                      <w:kern w:val="0"/>
                      <w:szCs w:val="21"/>
                      <w:highlight w:val="none"/>
                      <w:lang w:eastAsia="zh-CN"/>
                    </w:rPr>
                  </w:pPr>
                  <w:r>
                    <w:rPr>
                      <w:rFonts w:hint="eastAsia" w:ascii="Times New Roman" w:hAnsi="Times New Roman" w:eastAsia="宋体"/>
                      <w:color w:val="auto"/>
                      <w:sz w:val="21"/>
                      <w:szCs w:val="21"/>
                      <w:highlight w:val="none"/>
                    </w:rPr>
                    <w:t>考察投标人</w:t>
                  </w:r>
                  <w:r>
                    <w:rPr>
                      <w:rFonts w:hint="eastAsia" w:ascii="Times New Roman" w:hAnsi="Times New Roman" w:eastAsia="宋体"/>
                      <w:color w:val="auto"/>
                      <w:sz w:val="21"/>
                      <w:szCs w:val="21"/>
                      <w:highlight w:val="none"/>
                      <w:lang w:val="en-US" w:eastAsia="zh-CN"/>
                    </w:rPr>
                    <w:t>对项目实施</w:t>
                  </w:r>
                  <w:r>
                    <w:rPr>
                      <w:rFonts w:hint="eastAsia" w:ascii="Times New Roman" w:hAnsi="Times New Roman" w:eastAsia="宋体"/>
                      <w:color w:val="auto"/>
                      <w:sz w:val="21"/>
                      <w:szCs w:val="21"/>
                      <w:highlight w:val="none"/>
                    </w:rPr>
                    <w:t>方案编制的科学性</w:t>
                  </w: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rPr>
                    <w:t>全面性</w:t>
                  </w:r>
                  <w:r>
                    <w:rPr>
                      <w:rFonts w:hint="eastAsia" w:ascii="Times New Roman" w:hAnsi="Times New Roman" w:eastAsia="宋体" w:cs="宋体"/>
                      <w:color w:val="auto"/>
                      <w:kern w:val="0"/>
                      <w:szCs w:val="21"/>
                      <w:highlight w:val="none"/>
                    </w:rPr>
                    <w:t>，投标人需根据项目情况，提供内容详实、科学合理、贴合实际的项目实施方案</w:t>
                  </w:r>
                  <w:r>
                    <w:rPr>
                      <w:rFonts w:hint="eastAsia" w:ascii="Times New Roman" w:hAnsi="Times New Roman" w:eastAsia="宋体" w:cs="宋体"/>
                      <w:color w:val="auto"/>
                      <w:kern w:val="0"/>
                      <w:szCs w:val="21"/>
                      <w:highlight w:val="none"/>
                      <w:lang w:eastAsia="zh-CN"/>
                    </w:rPr>
                    <w:t>，由</w:t>
                  </w:r>
                  <w:r>
                    <w:rPr>
                      <w:rFonts w:hint="eastAsia" w:ascii="Times New Roman" w:hAnsi="Times New Roman" w:eastAsia="宋体" w:cs="宋体"/>
                      <w:color w:val="auto"/>
                      <w:kern w:val="0"/>
                      <w:szCs w:val="21"/>
                      <w:highlight w:val="none"/>
                    </w:rPr>
                    <w:t>评审专家进行全面打分</w:t>
                  </w:r>
                  <w:r>
                    <w:rPr>
                      <w:rFonts w:hint="eastAsia" w:ascii="Times New Roman" w:hAnsi="Times New Roman" w:eastAsia="宋体" w:cs="宋体"/>
                      <w:color w:val="auto"/>
                      <w:kern w:val="0"/>
                      <w:szCs w:val="21"/>
                      <w:highlight w:val="none"/>
                      <w:lang w:eastAsia="zh-CN"/>
                    </w:rPr>
                    <w:t>。</w:t>
                  </w:r>
                </w:p>
                <w:p w14:paraId="4A59E574">
                  <w:pPr>
                    <w:spacing w:line="240" w:lineRule="auto"/>
                    <w:jc w:val="both"/>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一、评分内容</w:t>
                  </w:r>
                </w:p>
                <w:p w14:paraId="0E723017">
                  <w:pPr>
                    <w:spacing w:line="240" w:lineRule="auto"/>
                    <w:jc w:val="both"/>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1.实施</w:t>
                  </w:r>
                  <w:r>
                    <w:rPr>
                      <w:rFonts w:hint="eastAsia" w:ascii="Times New Roman" w:hAnsi="Times New Roman" w:eastAsia="宋体"/>
                      <w:color w:val="auto"/>
                      <w:sz w:val="21"/>
                      <w:szCs w:val="21"/>
                      <w:highlight w:val="none"/>
                    </w:rPr>
                    <w:t>方案完整</w:t>
                  </w:r>
                  <w:r>
                    <w:rPr>
                      <w:rFonts w:hint="eastAsia" w:ascii="Times New Roman" w:hAnsi="Times New Roman" w:eastAsia="宋体"/>
                      <w:color w:val="auto"/>
                      <w:sz w:val="21"/>
                      <w:szCs w:val="21"/>
                      <w:highlight w:val="none"/>
                      <w:lang w:val="en-US" w:eastAsia="zh-CN"/>
                    </w:rPr>
                    <w:t>，理解采购人的实际需求，体现了全部服务</w:t>
                  </w:r>
                  <w:r>
                    <w:rPr>
                      <w:rFonts w:hint="eastAsia" w:ascii="Times New Roman" w:hAnsi="Times New Roman" w:eastAsia="宋体"/>
                      <w:color w:val="auto"/>
                      <w:sz w:val="21"/>
                      <w:szCs w:val="21"/>
                      <w:highlight w:val="none"/>
                    </w:rPr>
                    <w:t>内容</w:t>
                  </w: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包括但不限于项目目标、项目内容、项目实施流程和实施计划。</w:t>
                  </w:r>
                </w:p>
                <w:p w14:paraId="61F68100">
                  <w:pPr>
                    <w:spacing w:line="240" w:lineRule="auto"/>
                    <w:jc w:val="both"/>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2.实施方案应包含具体的商用密码应用安全性评估技术方案以及服务实施流程。</w:t>
                  </w:r>
                </w:p>
                <w:p w14:paraId="3AFE9CFC">
                  <w:pPr>
                    <w:spacing w:line="240" w:lineRule="auto"/>
                    <w:jc w:val="both"/>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3.实施方案应包含具体的网络安全等级保护测评技术方案以及服务实施流程。</w:t>
                  </w:r>
                </w:p>
                <w:p w14:paraId="229CB559">
                  <w:pPr>
                    <w:numPr>
                      <w:ilvl w:val="0"/>
                      <w:numId w:val="0"/>
                    </w:numPr>
                    <w:autoSpaceDE w:val="0"/>
                    <w:autoSpaceDN w:val="0"/>
                    <w:adjustRightInd w:val="0"/>
                    <w:spacing w:line="240" w:lineRule="auto"/>
                    <w:ind w:leftChars="0"/>
                    <w:jc w:val="lef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二、</w:t>
                  </w:r>
                  <w:r>
                    <w:rPr>
                      <w:rFonts w:hint="eastAsia" w:ascii="Times New Roman" w:hAnsi="Times New Roman" w:eastAsia="宋体" w:cs="宋体"/>
                      <w:color w:val="auto"/>
                      <w:sz w:val="21"/>
                      <w:szCs w:val="21"/>
                      <w:highlight w:val="none"/>
                    </w:rPr>
                    <w:t>评分依据：</w:t>
                  </w:r>
                </w:p>
                <w:p w14:paraId="44567E84">
                  <w:pPr>
                    <w:keepNext w:val="0"/>
                    <w:keepLines w:val="0"/>
                    <w:pageBreakBefore w:val="0"/>
                    <w:widowControl w:val="0"/>
                    <w:tabs>
                      <w:tab w:val="left" w:pos="5670"/>
                    </w:tabs>
                    <w:kinsoku/>
                    <w:wordWrap/>
                    <w:overflowPunct/>
                    <w:topLinePunct w:val="0"/>
                    <w:autoSpaceDE/>
                    <w:autoSpaceDN/>
                    <w:bidi w:val="0"/>
                    <w:adjustRightInd/>
                    <w:snapToGrid/>
                    <w:ind w:left="0" w:leftChars="0"/>
                    <w:jc w:val="both"/>
                    <w:textAlignment w:val="auto"/>
                    <w:rPr>
                      <w:rFonts w:hint="eastAsia" w:ascii="Times New Roman" w:hAnsi="Times New Roman" w:eastAsia="宋体" w:cs="宋体"/>
                      <w:color w:val="auto"/>
                      <w:kern w:val="0"/>
                      <w:szCs w:val="21"/>
                      <w:highlight w:val="none"/>
                      <w:lang w:eastAsia="zh-CN"/>
                    </w:rPr>
                  </w:pPr>
                  <w:r>
                    <w:rPr>
                      <w:rFonts w:hint="eastAsia" w:ascii="Times New Roman" w:hAnsi="Times New Roman" w:eastAsia="宋体" w:cs="宋体"/>
                      <w:color w:val="auto"/>
                      <w:kern w:val="0"/>
                      <w:szCs w:val="21"/>
                      <w:highlight w:val="none"/>
                    </w:rPr>
                    <w:t>本项满分10分，</w:t>
                  </w:r>
                  <w:r>
                    <w:rPr>
                      <w:rFonts w:hint="eastAsia" w:ascii="Times New Roman" w:hAnsi="Times New Roman" w:eastAsia="宋体" w:cs="宋体"/>
                      <w:color w:val="auto"/>
                      <w:kern w:val="0"/>
                      <w:szCs w:val="21"/>
                      <w:highlight w:val="none"/>
                      <w:lang w:val="en-US" w:eastAsia="zh-CN"/>
                    </w:rPr>
                    <w:t>覆盖</w:t>
                  </w:r>
                  <w:r>
                    <w:rPr>
                      <w:rFonts w:hint="eastAsia" w:ascii="Times New Roman" w:hAnsi="Times New Roman" w:eastAsia="宋体" w:cs="宋体"/>
                      <w:color w:val="auto"/>
                      <w:kern w:val="0"/>
                      <w:szCs w:val="21"/>
                      <w:highlight w:val="none"/>
                    </w:rPr>
                    <w:t>以上</w:t>
                  </w:r>
                  <w:r>
                    <w:rPr>
                      <w:rFonts w:hint="eastAsia" w:ascii="Times New Roman" w:hAnsi="Times New Roman" w:eastAsia="宋体" w:cs="宋体"/>
                      <w:color w:val="auto"/>
                      <w:kern w:val="0"/>
                      <w:szCs w:val="21"/>
                      <w:highlight w:val="none"/>
                      <w:lang w:val="en-US" w:eastAsia="zh-CN"/>
                    </w:rPr>
                    <w:t>3</w:t>
                  </w:r>
                  <w:r>
                    <w:rPr>
                      <w:rFonts w:hint="eastAsia" w:ascii="Times New Roman" w:hAnsi="Times New Roman" w:eastAsia="宋体" w:cs="宋体"/>
                      <w:color w:val="auto"/>
                      <w:kern w:val="0"/>
                      <w:szCs w:val="21"/>
                      <w:highlight w:val="none"/>
                    </w:rPr>
                    <w:t>项全部内容的得</w:t>
                  </w:r>
                  <w:r>
                    <w:rPr>
                      <w:rFonts w:hint="eastAsia" w:ascii="Times New Roman" w:hAnsi="Times New Roman" w:eastAsia="宋体" w:cs="宋体"/>
                      <w:color w:val="auto"/>
                      <w:kern w:val="0"/>
                      <w:szCs w:val="21"/>
                      <w:highlight w:val="none"/>
                      <w:lang w:val="en-US" w:eastAsia="zh-CN"/>
                    </w:rPr>
                    <w:t>7</w:t>
                  </w:r>
                  <w:r>
                    <w:rPr>
                      <w:rFonts w:hint="eastAsia" w:ascii="Times New Roman" w:hAnsi="Times New Roman" w:eastAsia="宋体" w:cs="宋体"/>
                      <w:color w:val="auto"/>
                      <w:kern w:val="0"/>
                      <w:szCs w:val="21"/>
                      <w:highlight w:val="none"/>
                    </w:rPr>
                    <w:t>分，缺项不得分</w:t>
                  </w:r>
                  <w:r>
                    <w:rPr>
                      <w:rFonts w:hint="eastAsia" w:ascii="Times New Roman" w:hAnsi="Times New Roman" w:eastAsia="宋体" w:cs="宋体"/>
                      <w:color w:val="auto"/>
                      <w:kern w:val="0"/>
                      <w:szCs w:val="21"/>
                      <w:highlight w:val="none"/>
                      <w:lang w:eastAsia="zh-CN"/>
                    </w:rPr>
                    <w:t>。在此基础上，</w:t>
                  </w:r>
                  <w:r>
                    <w:rPr>
                      <w:rFonts w:hint="eastAsia" w:ascii="Times New Roman" w:hAnsi="Times New Roman" w:eastAsia="宋体" w:cs="宋体"/>
                      <w:color w:val="auto"/>
                      <w:kern w:val="0"/>
                      <w:szCs w:val="21"/>
                      <w:highlight w:val="none"/>
                      <w:lang w:val="en-US" w:eastAsia="zh-CN"/>
                    </w:rPr>
                    <w:t>评审</w:t>
                  </w:r>
                  <w:r>
                    <w:rPr>
                      <w:rFonts w:hint="eastAsia" w:ascii="Times New Roman" w:hAnsi="Times New Roman" w:eastAsia="宋体" w:cs="宋体"/>
                      <w:color w:val="auto"/>
                      <w:kern w:val="0"/>
                      <w:szCs w:val="21"/>
                      <w:highlight w:val="none"/>
                      <w:lang w:eastAsia="zh-CN"/>
                    </w:rPr>
                    <w:t>专家根据</w:t>
                  </w:r>
                  <w:r>
                    <w:rPr>
                      <w:rFonts w:hint="eastAsia" w:ascii="Times New Roman" w:hAnsi="Times New Roman" w:eastAsia="宋体" w:cs="宋体"/>
                      <w:color w:val="auto"/>
                      <w:kern w:val="0"/>
                      <w:szCs w:val="21"/>
                      <w:highlight w:val="none"/>
                      <w:lang w:val="en-US" w:eastAsia="zh-CN"/>
                    </w:rPr>
                    <w:t>投标人</w:t>
                  </w:r>
                  <w:r>
                    <w:rPr>
                      <w:rFonts w:hint="eastAsia" w:ascii="Times New Roman" w:hAnsi="Times New Roman" w:eastAsia="宋体" w:cs="宋体"/>
                      <w:color w:val="auto"/>
                      <w:kern w:val="0"/>
                      <w:szCs w:val="21"/>
                      <w:highlight w:val="none"/>
                      <w:lang w:eastAsia="zh-CN"/>
                    </w:rPr>
                    <w:t>具体响应内容按照量化的评审因素指标进一步评审：</w:t>
                  </w:r>
                </w:p>
                <w:p w14:paraId="405DEA13">
                  <w:pPr>
                    <w:keepNext w:val="0"/>
                    <w:keepLines w:val="0"/>
                    <w:pageBreakBefore w:val="0"/>
                    <w:widowControl w:val="0"/>
                    <w:numPr>
                      <w:ilvl w:val="0"/>
                      <w:numId w:val="0"/>
                    </w:numPr>
                    <w:tabs>
                      <w:tab w:val="left" w:pos="5670"/>
                    </w:tabs>
                    <w:kinsoku/>
                    <w:wordWrap/>
                    <w:overflowPunct/>
                    <w:topLinePunct w:val="0"/>
                    <w:autoSpaceDE/>
                    <w:autoSpaceDN/>
                    <w:bidi w:val="0"/>
                    <w:adjustRightInd/>
                    <w:snapToGrid/>
                    <w:jc w:val="both"/>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1.</w:t>
                  </w:r>
                  <w:r>
                    <w:rPr>
                      <w:rFonts w:hint="eastAsia" w:ascii="Times New Roman" w:hAnsi="Times New Roman" w:eastAsia="宋体" w:cs="宋体"/>
                      <w:color w:val="auto"/>
                      <w:kern w:val="0"/>
                      <w:szCs w:val="21"/>
                      <w:highlight w:val="none"/>
                    </w:rPr>
                    <w:t>对</w:t>
                  </w:r>
                  <w:r>
                    <w:rPr>
                      <w:rFonts w:ascii="Times New Roman" w:hAnsi="Times New Roman" w:eastAsia="宋体"/>
                      <w:color w:val="auto"/>
                      <w:szCs w:val="21"/>
                      <w:highlight w:val="none"/>
                    </w:rPr>
                    <w:t>项目</w:t>
                  </w:r>
                  <w:r>
                    <w:rPr>
                      <w:rFonts w:hint="eastAsia" w:ascii="Times New Roman" w:hAnsi="Times New Roman" w:eastAsia="宋体"/>
                      <w:color w:val="auto"/>
                      <w:szCs w:val="21"/>
                      <w:highlight w:val="none"/>
                      <w:lang w:val="en-US" w:eastAsia="zh-CN"/>
                    </w:rPr>
                    <w:t>服务要求和服务内容</w:t>
                  </w:r>
                  <w:r>
                    <w:rPr>
                      <w:rFonts w:hint="eastAsia" w:ascii="Times New Roman" w:hAnsi="Times New Roman" w:eastAsia="宋体" w:cs="宋体"/>
                      <w:color w:val="auto"/>
                      <w:kern w:val="0"/>
                      <w:szCs w:val="21"/>
                      <w:highlight w:val="none"/>
                    </w:rPr>
                    <w:t>理解全面透彻</w:t>
                  </w:r>
                  <w:r>
                    <w:rPr>
                      <w:rFonts w:hint="eastAsia" w:ascii="Times New Roman" w:hAnsi="Times New Roman" w:eastAsia="宋体"/>
                      <w:color w:val="auto"/>
                      <w:szCs w:val="21"/>
                      <w:highlight w:val="none"/>
                      <w:lang w:val="en-US" w:eastAsia="zh-CN"/>
                    </w:rPr>
                    <w:t>，</w:t>
                  </w:r>
                  <w:r>
                    <w:rPr>
                      <w:rFonts w:hint="eastAsia" w:ascii="Times New Roman" w:hAnsi="Times New Roman" w:eastAsia="宋体" w:cs="宋体"/>
                      <w:color w:val="auto"/>
                      <w:kern w:val="0"/>
                      <w:szCs w:val="21"/>
                      <w:highlight w:val="none"/>
                    </w:rPr>
                    <w:t>符合实际需要</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lang w:val="en-US" w:eastAsia="zh-CN"/>
                    </w:rPr>
                    <w:t>方案</w:t>
                  </w:r>
                  <w:r>
                    <w:rPr>
                      <w:rFonts w:hint="eastAsia" w:ascii="Times New Roman" w:hAnsi="Times New Roman" w:eastAsia="宋体" w:cs="宋体"/>
                      <w:color w:val="auto"/>
                      <w:kern w:val="0"/>
                      <w:szCs w:val="21"/>
                      <w:highlight w:val="none"/>
                    </w:rPr>
                    <w:t>整体科学合理，</w:t>
                  </w:r>
                  <w:r>
                    <w:rPr>
                      <w:rFonts w:hint="eastAsia" w:ascii="Times New Roman" w:hAnsi="Times New Roman" w:eastAsia="宋体" w:cs="宋体"/>
                      <w:color w:val="auto"/>
                      <w:kern w:val="0"/>
                      <w:szCs w:val="21"/>
                      <w:highlight w:val="none"/>
                      <w:lang w:val="en-US" w:eastAsia="zh-CN"/>
                    </w:rPr>
                    <w:t>可行性强，可操作性强</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lang w:val="en-US" w:eastAsia="zh-CN"/>
                    </w:rPr>
                    <w:t>满足前述评价</w:t>
                  </w:r>
                  <w:r>
                    <w:rPr>
                      <w:rFonts w:hint="eastAsia" w:ascii="Times New Roman" w:hAnsi="Times New Roman" w:eastAsia="宋体" w:cs="宋体"/>
                      <w:color w:val="auto"/>
                      <w:kern w:val="0"/>
                      <w:szCs w:val="21"/>
                      <w:highlight w:val="none"/>
                    </w:rPr>
                    <w:t>，评审为优</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rPr>
                    <w:t>加</w:t>
                  </w:r>
                  <w:r>
                    <w:rPr>
                      <w:rFonts w:hint="eastAsia" w:ascii="Times New Roman" w:hAnsi="Times New Roman" w:eastAsia="宋体" w:cs="宋体"/>
                      <w:color w:val="auto"/>
                      <w:kern w:val="0"/>
                      <w:szCs w:val="21"/>
                      <w:highlight w:val="none"/>
                      <w:lang w:val="en-US" w:eastAsia="zh-CN"/>
                    </w:rPr>
                    <w:t>3</w:t>
                  </w:r>
                  <w:r>
                    <w:rPr>
                      <w:rFonts w:hint="eastAsia" w:ascii="Times New Roman" w:hAnsi="Times New Roman" w:eastAsia="宋体" w:cs="宋体"/>
                      <w:color w:val="auto"/>
                      <w:kern w:val="0"/>
                      <w:szCs w:val="21"/>
                      <w:highlight w:val="none"/>
                    </w:rPr>
                    <w:t>分。</w:t>
                  </w:r>
                </w:p>
                <w:p w14:paraId="4DA62422">
                  <w:pPr>
                    <w:keepNext w:val="0"/>
                    <w:keepLines w:val="0"/>
                    <w:pageBreakBefore w:val="0"/>
                    <w:widowControl w:val="0"/>
                    <w:numPr>
                      <w:ilvl w:val="0"/>
                      <w:numId w:val="0"/>
                    </w:numPr>
                    <w:tabs>
                      <w:tab w:val="left" w:pos="5670"/>
                    </w:tabs>
                    <w:kinsoku/>
                    <w:wordWrap/>
                    <w:overflowPunct/>
                    <w:topLinePunct w:val="0"/>
                    <w:autoSpaceDE/>
                    <w:autoSpaceDN/>
                    <w:bidi w:val="0"/>
                    <w:adjustRightInd/>
                    <w:snapToGrid/>
                    <w:jc w:val="both"/>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2.</w:t>
                  </w:r>
                  <w:r>
                    <w:rPr>
                      <w:rFonts w:hint="eastAsia" w:ascii="Times New Roman" w:hAnsi="Times New Roman" w:eastAsia="宋体" w:cs="宋体"/>
                      <w:color w:val="auto"/>
                      <w:kern w:val="0"/>
                      <w:szCs w:val="21"/>
                      <w:highlight w:val="none"/>
                    </w:rPr>
                    <w:t>对</w:t>
                  </w:r>
                  <w:r>
                    <w:rPr>
                      <w:rFonts w:ascii="Times New Roman" w:hAnsi="Times New Roman" w:eastAsia="宋体"/>
                      <w:color w:val="auto"/>
                      <w:szCs w:val="21"/>
                      <w:highlight w:val="none"/>
                    </w:rPr>
                    <w:t>项目</w:t>
                  </w:r>
                  <w:r>
                    <w:rPr>
                      <w:rFonts w:hint="eastAsia" w:ascii="Times New Roman" w:hAnsi="Times New Roman" w:eastAsia="宋体"/>
                      <w:color w:val="auto"/>
                      <w:szCs w:val="21"/>
                      <w:highlight w:val="none"/>
                      <w:lang w:val="en-US" w:eastAsia="zh-CN"/>
                    </w:rPr>
                    <w:t>服务要求和服务内容</w:t>
                  </w:r>
                  <w:r>
                    <w:rPr>
                      <w:rFonts w:hint="eastAsia" w:ascii="Times New Roman" w:hAnsi="Times New Roman" w:eastAsia="宋体" w:cs="宋体"/>
                      <w:color w:val="auto"/>
                      <w:kern w:val="0"/>
                      <w:szCs w:val="21"/>
                      <w:highlight w:val="none"/>
                    </w:rPr>
                    <w:t>理解较为透彻</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lang w:val="en-US" w:eastAsia="zh-CN"/>
                    </w:rPr>
                    <w:t>方案</w:t>
                  </w:r>
                  <w:r>
                    <w:rPr>
                      <w:rFonts w:hint="eastAsia" w:ascii="Times New Roman" w:hAnsi="Times New Roman" w:eastAsia="宋体" w:cs="宋体"/>
                      <w:color w:val="auto"/>
                      <w:kern w:val="0"/>
                      <w:szCs w:val="21"/>
                      <w:highlight w:val="none"/>
                    </w:rPr>
                    <w:t>整体</w:t>
                  </w:r>
                  <w:r>
                    <w:rPr>
                      <w:rFonts w:hint="eastAsia" w:ascii="Times New Roman" w:hAnsi="Times New Roman" w:eastAsia="宋体" w:cs="宋体"/>
                      <w:color w:val="auto"/>
                      <w:kern w:val="0"/>
                      <w:szCs w:val="21"/>
                      <w:highlight w:val="none"/>
                      <w:lang w:val="en-US" w:eastAsia="zh-CN"/>
                    </w:rPr>
                    <w:t>较为</w:t>
                  </w:r>
                  <w:r>
                    <w:rPr>
                      <w:rFonts w:hint="eastAsia" w:ascii="Times New Roman" w:hAnsi="Times New Roman" w:eastAsia="宋体" w:cs="宋体"/>
                      <w:color w:val="auto"/>
                      <w:kern w:val="0"/>
                      <w:szCs w:val="21"/>
                      <w:highlight w:val="none"/>
                    </w:rPr>
                    <w:t>合理，</w:t>
                  </w:r>
                  <w:r>
                    <w:rPr>
                      <w:rFonts w:hint="eastAsia" w:ascii="Times New Roman" w:hAnsi="Times New Roman" w:eastAsia="宋体" w:cs="宋体"/>
                      <w:color w:val="auto"/>
                      <w:kern w:val="0"/>
                      <w:szCs w:val="21"/>
                      <w:highlight w:val="none"/>
                      <w:lang w:val="en-US" w:eastAsia="zh-CN"/>
                    </w:rPr>
                    <w:t>可行性一般，</w:t>
                  </w:r>
                  <w:r>
                    <w:rPr>
                      <w:rFonts w:hint="eastAsia" w:ascii="Times New Roman" w:hAnsi="Times New Roman" w:eastAsia="宋体" w:cs="宋体"/>
                      <w:color w:val="auto"/>
                      <w:kern w:val="0"/>
                      <w:szCs w:val="21"/>
                      <w:highlight w:val="none"/>
                    </w:rPr>
                    <w:t>可操作性一般</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lang w:val="en-US" w:eastAsia="zh-CN"/>
                    </w:rPr>
                    <w:t>满足前述评价</w:t>
                  </w:r>
                  <w:r>
                    <w:rPr>
                      <w:rFonts w:hint="eastAsia" w:ascii="Times New Roman" w:hAnsi="Times New Roman" w:eastAsia="宋体" w:cs="宋体"/>
                      <w:color w:val="auto"/>
                      <w:kern w:val="0"/>
                      <w:szCs w:val="21"/>
                      <w:highlight w:val="none"/>
                    </w:rPr>
                    <w:t>，评审为</w:t>
                  </w:r>
                  <w:r>
                    <w:rPr>
                      <w:rFonts w:hint="eastAsia" w:ascii="Times New Roman" w:hAnsi="Times New Roman" w:eastAsia="宋体" w:cs="宋体"/>
                      <w:color w:val="auto"/>
                      <w:kern w:val="0"/>
                      <w:szCs w:val="21"/>
                      <w:highlight w:val="none"/>
                      <w:lang w:val="en-US" w:eastAsia="zh-CN"/>
                    </w:rPr>
                    <w:t>良</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rPr>
                    <w:t>加</w:t>
                  </w:r>
                  <w:r>
                    <w:rPr>
                      <w:rFonts w:hint="eastAsia" w:ascii="Times New Roman" w:hAnsi="Times New Roman" w:eastAsia="宋体" w:cs="宋体"/>
                      <w:color w:val="auto"/>
                      <w:kern w:val="0"/>
                      <w:szCs w:val="21"/>
                      <w:highlight w:val="none"/>
                      <w:lang w:val="en-US" w:eastAsia="zh-CN"/>
                    </w:rPr>
                    <w:t>2</w:t>
                  </w:r>
                  <w:r>
                    <w:rPr>
                      <w:rFonts w:hint="eastAsia" w:ascii="Times New Roman" w:hAnsi="Times New Roman" w:eastAsia="宋体" w:cs="宋体"/>
                      <w:color w:val="auto"/>
                      <w:kern w:val="0"/>
                      <w:szCs w:val="21"/>
                      <w:highlight w:val="none"/>
                    </w:rPr>
                    <w:t>分。</w:t>
                  </w:r>
                </w:p>
                <w:p w14:paraId="42092084">
                  <w:pPr>
                    <w:keepNext w:val="0"/>
                    <w:keepLines w:val="0"/>
                    <w:pageBreakBefore w:val="0"/>
                    <w:widowControl w:val="0"/>
                    <w:numPr>
                      <w:ilvl w:val="0"/>
                      <w:numId w:val="0"/>
                    </w:numPr>
                    <w:tabs>
                      <w:tab w:val="left" w:pos="5670"/>
                    </w:tabs>
                    <w:kinsoku/>
                    <w:wordWrap/>
                    <w:overflowPunct/>
                    <w:topLinePunct w:val="0"/>
                    <w:autoSpaceDE/>
                    <w:autoSpaceDN/>
                    <w:bidi w:val="0"/>
                    <w:adjustRightInd/>
                    <w:snapToGrid/>
                    <w:jc w:val="both"/>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3.</w:t>
                  </w:r>
                  <w:r>
                    <w:rPr>
                      <w:rFonts w:hint="eastAsia" w:ascii="Times New Roman" w:hAnsi="Times New Roman" w:eastAsia="宋体" w:cs="宋体"/>
                      <w:color w:val="auto"/>
                      <w:kern w:val="0"/>
                      <w:szCs w:val="21"/>
                      <w:highlight w:val="none"/>
                    </w:rPr>
                    <w:t>对</w:t>
                  </w:r>
                  <w:r>
                    <w:rPr>
                      <w:rFonts w:ascii="Times New Roman" w:hAnsi="Times New Roman" w:eastAsia="宋体"/>
                      <w:color w:val="auto"/>
                      <w:szCs w:val="21"/>
                      <w:highlight w:val="none"/>
                    </w:rPr>
                    <w:t>项目</w:t>
                  </w:r>
                  <w:r>
                    <w:rPr>
                      <w:rFonts w:hint="eastAsia" w:ascii="Times New Roman" w:hAnsi="Times New Roman" w:eastAsia="宋体"/>
                      <w:color w:val="auto"/>
                      <w:szCs w:val="21"/>
                      <w:highlight w:val="none"/>
                      <w:lang w:val="en-US" w:eastAsia="zh-CN"/>
                    </w:rPr>
                    <w:t>服务要求和服务内容</w:t>
                  </w:r>
                  <w:r>
                    <w:rPr>
                      <w:rFonts w:hint="eastAsia" w:ascii="Times New Roman" w:hAnsi="Times New Roman" w:eastAsia="宋体" w:cs="宋体"/>
                      <w:color w:val="auto"/>
                      <w:kern w:val="0"/>
                      <w:szCs w:val="21"/>
                      <w:highlight w:val="none"/>
                    </w:rPr>
                    <w:t>理解</w:t>
                  </w:r>
                  <w:r>
                    <w:rPr>
                      <w:rFonts w:hint="eastAsia" w:ascii="Times New Roman" w:hAnsi="Times New Roman" w:eastAsia="宋体" w:cs="宋体"/>
                      <w:color w:val="auto"/>
                      <w:kern w:val="0"/>
                      <w:szCs w:val="21"/>
                      <w:highlight w:val="none"/>
                      <w:lang w:val="en-US" w:eastAsia="zh-CN"/>
                    </w:rPr>
                    <w:t>一般</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lang w:val="en-US" w:eastAsia="zh-CN"/>
                    </w:rPr>
                    <w:t>方案</w:t>
                  </w:r>
                  <w:r>
                    <w:rPr>
                      <w:rFonts w:hint="eastAsia" w:ascii="Times New Roman" w:hAnsi="Times New Roman" w:eastAsia="宋体" w:cs="宋体"/>
                      <w:color w:val="auto"/>
                      <w:kern w:val="0"/>
                      <w:szCs w:val="21"/>
                      <w:highlight w:val="none"/>
                    </w:rPr>
                    <w:t>整体</w:t>
                  </w:r>
                  <w:r>
                    <w:rPr>
                      <w:rFonts w:hint="eastAsia" w:ascii="Times New Roman" w:hAnsi="Times New Roman" w:eastAsia="宋体" w:cs="宋体"/>
                      <w:color w:val="auto"/>
                      <w:kern w:val="0"/>
                      <w:szCs w:val="21"/>
                      <w:highlight w:val="none"/>
                      <w:lang w:val="en-US" w:eastAsia="zh-CN"/>
                    </w:rPr>
                    <w:t>一般</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rPr>
                    <w:t>有一定</w:t>
                  </w:r>
                  <w:r>
                    <w:rPr>
                      <w:rFonts w:hint="eastAsia" w:ascii="Times New Roman" w:hAnsi="Times New Roman" w:eastAsia="宋体" w:cs="宋体"/>
                      <w:color w:val="auto"/>
                      <w:kern w:val="0"/>
                      <w:szCs w:val="21"/>
                      <w:highlight w:val="none"/>
                      <w:lang w:val="en-US" w:eastAsia="zh-CN"/>
                    </w:rPr>
                    <w:t>的可行性和可</w:t>
                  </w:r>
                  <w:r>
                    <w:rPr>
                      <w:rFonts w:hint="eastAsia" w:ascii="Times New Roman" w:hAnsi="Times New Roman" w:eastAsia="宋体" w:cs="宋体"/>
                      <w:color w:val="auto"/>
                      <w:kern w:val="0"/>
                      <w:szCs w:val="21"/>
                      <w:highlight w:val="none"/>
                    </w:rPr>
                    <w:t>操作性</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lang w:val="en-US" w:eastAsia="zh-CN"/>
                    </w:rPr>
                    <w:t>满足前述评价</w:t>
                  </w:r>
                  <w:r>
                    <w:rPr>
                      <w:rFonts w:hint="eastAsia" w:ascii="Times New Roman" w:hAnsi="Times New Roman" w:eastAsia="宋体" w:cs="宋体"/>
                      <w:color w:val="auto"/>
                      <w:kern w:val="0"/>
                      <w:szCs w:val="21"/>
                      <w:highlight w:val="none"/>
                    </w:rPr>
                    <w:t>，评审为</w:t>
                  </w:r>
                  <w:r>
                    <w:rPr>
                      <w:rFonts w:hint="eastAsia" w:ascii="Times New Roman" w:hAnsi="Times New Roman" w:eastAsia="宋体" w:cs="宋体"/>
                      <w:color w:val="auto"/>
                      <w:kern w:val="0"/>
                      <w:szCs w:val="21"/>
                      <w:highlight w:val="none"/>
                      <w:lang w:val="en-US" w:eastAsia="zh-CN"/>
                    </w:rPr>
                    <w:t>中</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rPr>
                    <w:t>加</w:t>
                  </w:r>
                  <w:r>
                    <w:rPr>
                      <w:rFonts w:hint="eastAsia" w:ascii="Times New Roman" w:hAnsi="Times New Roman" w:eastAsia="宋体" w:cs="宋体"/>
                      <w:color w:val="auto"/>
                      <w:kern w:val="0"/>
                      <w:szCs w:val="21"/>
                      <w:highlight w:val="none"/>
                      <w:lang w:val="en-US" w:eastAsia="zh-CN"/>
                    </w:rPr>
                    <w:t>1</w:t>
                  </w:r>
                  <w:r>
                    <w:rPr>
                      <w:rFonts w:hint="eastAsia" w:ascii="Times New Roman" w:hAnsi="Times New Roman" w:eastAsia="宋体" w:cs="宋体"/>
                      <w:color w:val="auto"/>
                      <w:kern w:val="0"/>
                      <w:szCs w:val="21"/>
                      <w:highlight w:val="none"/>
                    </w:rPr>
                    <w:t>分。</w:t>
                  </w:r>
                </w:p>
                <w:p w14:paraId="66173297">
                  <w:pPr>
                    <w:keepNext w:val="0"/>
                    <w:keepLines w:val="0"/>
                    <w:pageBreakBefore w:val="0"/>
                    <w:widowControl w:val="0"/>
                    <w:numPr>
                      <w:ilvl w:val="0"/>
                      <w:numId w:val="0"/>
                    </w:numPr>
                    <w:tabs>
                      <w:tab w:val="left" w:pos="5670"/>
                    </w:tabs>
                    <w:kinsoku/>
                    <w:wordWrap/>
                    <w:overflowPunct/>
                    <w:topLinePunct w:val="0"/>
                    <w:autoSpaceDE/>
                    <w:autoSpaceDN/>
                    <w:bidi w:val="0"/>
                    <w:adjustRightInd/>
                    <w:snapToGrid/>
                    <w:jc w:val="both"/>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4.</w:t>
                  </w:r>
                  <w:r>
                    <w:rPr>
                      <w:rFonts w:hint="eastAsia" w:ascii="Times New Roman" w:hAnsi="Times New Roman" w:eastAsia="宋体" w:cs="宋体"/>
                      <w:color w:val="auto"/>
                      <w:kern w:val="0"/>
                      <w:szCs w:val="21"/>
                      <w:highlight w:val="none"/>
                    </w:rPr>
                    <w:t>对</w:t>
                  </w:r>
                  <w:r>
                    <w:rPr>
                      <w:rFonts w:ascii="Times New Roman" w:hAnsi="Times New Roman" w:eastAsia="宋体"/>
                      <w:color w:val="auto"/>
                      <w:szCs w:val="21"/>
                      <w:highlight w:val="none"/>
                    </w:rPr>
                    <w:t>项目</w:t>
                  </w:r>
                  <w:r>
                    <w:rPr>
                      <w:rFonts w:hint="eastAsia" w:ascii="Times New Roman" w:hAnsi="Times New Roman" w:eastAsia="宋体"/>
                      <w:color w:val="auto"/>
                      <w:szCs w:val="21"/>
                      <w:highlight w:val="none"/>
                      <w:lang w:val="en-US" w:eastAsia="zh-CN"/>
                    </w:rPr>
                    <w:t>服务要求和服务内容</w:t>
                  </w:r>
                  <w:r>
                    <w:rPr>
                      <w:rFonts w:hint="eastAsia" w:ascii="Times New Roman" w:hAnsi="Times New Roman" w:eastAsia="宋体" w:cs="宋体"/>
                      <w:color w:val="auto"/>
                      <w:kern w:val="0"/>
                      <w:szCs w:val="21"/>
                      <w:highlight w:val="none"/>
                    </w:rPr>
                    <w:t>理解</w:t>
                  </w:r>
                  <w:r>
                    <w:rPr>
                      <w:rFonts w:hint="eastAsia" w:ascii="Times New Roman" w:hAnsi="Times New Roman" w:eastAsia="宋体" w:cs="宋体"/>
                      <w:color w:val="auto"/>
                      <w:kern w:val="0"/>
                      <w:szCs w:val="21"/>
                      <w:highlight w:val="none"/>
                      <w:lang w:val="en-US" w:eastAsia="zh-CN"/>
                    </w:rPr>
                    <w:t>不到位</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lang w:val="en-US" w:eastAsia="zh-CN"/>
                    </w:rPr>
                    <w:t>方案</w:t>
                  </w:r>
                  <w:r>
                    <w:rPr>
                      <w:rFonts w:hint="eastAsia" w:ascii="Times New Roman" w:hAnsi="Times New Roman" w:eastAsia="宋体" w:cs="宋体"/>
                      <w:color w:val="auto"/>
                      <w:kern w:val="0"/>
                      <w:szCs w:val="21"/>
                      <w:highlight w:val="none"/>
                    </w:rPr>
                    <w:t>整体</w:t>
                  </w:r>
                  <w:r>
                    <w:rPr>
                      <w:rFonts w:hint="eastAsia" w:ascii="Times New Roman" w:hAnsi="Times New Roman" w:eastAsia="宋体" w:cs="宋体"/>
                      <w:color w:val="auto"/>
                      <w:kern w:val="0"/>
                      <w:szCs w:val="21"/>
                      <w:highlight w:val="none"/>
                      <w:lang w:val="en-US" w:eastAsia="zh-CN"/>
                    </w:rPr>
                    <w:t>不合理</w:t>
                  </w:r>
                  <w:r>
                    <w:rPr>
                      <w:rFonts w:hint="eastAsia" w:ascii="Times New Roman" w:hAnsi="Times New Roman" w:eastAsia="宋体" w:cs="宋体"/>
                      <w:color w:val="auto"/>
                      <w:kern w:val="0"/>
                      <w:szCs w:val="21"/>
                      <w:highlight w:val="none"/>
                    </w:rPr>
                    <w:t>，</w:t>
                  </w:r>
                  <w:r>
                    <w:rPr>
                      <w:rFonts w:hint="eastAsia" w:ascii="Times New Roman" w:hAnsi="Times New Roman" w:eastAsia="宋体" w:cs="宋体"/>
                      <w:color w:val="auto"/>
                      <w:kern w:val="0"/>
                      <w:szCs w:val="21"/>
                      <w:highlight w:val="none"/>
                      <w:lang w:val="en-US" w:eastAsia="zh-CN"/>
                    </w:rPr>
                    <w:t>不具备可行性，</w:t>
                  </w:r>
                  <w:r>
                    <w:rPr>
                      <w:rFonts w:hint="eastAsia" w:ascii="Times New Roman" w:hAnsi="Times New Roman" w:eastAsia="宋体" w:cs="宋体"/>
                      <w:color w:val="auto"/>
                      <w:kern w:val="0"/>
                      <w:szCs w:val="21"/>
                      <w:highlight w:val="none"/>
                    </w:rPr>
                    <w:t>无操作性</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lang w:val="en-US" w:eastAsia="zh-CN"/>
                    </w:rPr>
                    <w:t>满足前述评价</w:t>
                  </w:r>
                  <w:r>
                    <w:rPr>
                      <w:rFonts w:hint="eastAsia" w:ascii="Times New Roman" w:hAnsi="Times New Roman" w:eastAsia="宋体" w:cs="宋体"/>
                      <w:color w:val="auto"/>
                      <w:kern w:val="0"/>
                      <w:szCs w:val="21"/>
                      <w:highlight w:val="none"/>
                    </w:rPr>
                    <w:t>，评审为</w:t>
                  </w:r>
                  <w:r>
                    <w:rPr>
                      <w:rFonts w:hint="eastAsia" w:ascii="Times New Roman" w:hAnsi="Times New Roman" w:eastAsia="宋体" w:cs="宋体"/>
                      <w:color w:val="auto"/>
                      <w:kern w:val="0"/>
                      <w:szCs w:val="21"/>
                      <w:highlight w:val="none"/>
                      <w:lang w:val="en-US" w:eastAsia="zh-CN"/>
                    </w:rPr>
                    <w:t>差</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rPr>
                    <w:t>加</w:t>
                  </w:r>
                  <w:r>
                    <w:rPr>
                      <w:rFonts w:hint="eastAsia" w:ascii="Times New Roman" w:hAnsi="Times New Roman" w:eastAsia="宋体" w:cs="宋体"/>
                      <w:color w:val="auto"/>
                      <w:kern w:val="0"/>
                      <w:szCs w:val="21"/>
                      <w:highlight w:val="none"/>
                      <w:lang w:val="en-US" w:eastAsia="zh-CN"/>
                    </w:rPr>
                    <w:t>0</w:t>
                  </w:r>
                  <w:r>
                    <w:rPr>
                      <w:rFonts w:hint="eastAsia" w:ascii="Times New Roman" w:hAnsi="Times New Roman" w:eastAsia="宋体" w:cs="宋体"/>
                      <w:color w:val="auto"/>
                      <w:kern w:val="0"/>
                      <w:szCs w:val="21"/>
                      <w:highlight w:val="none"/>
                    </w:rPr>
                    <w:t>分。如果评审为差，要求专家书面说明理由，并记录在档。</w:t>
                  </w:r>
                </w:p>
              </w:tc>
            </w:tr>
            <w:tr w14:paraId="480A5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vMerge w:val="continue"/>
                  <w:tcBorders>
                    <w:tl2br w:val="nil"/>
                    <w:tr2bl w:val="nil"/>
                  </w:tcBorders>
                  <w:vAlign w:val="center"/>
                </w:tcPr>
                <w:p w14:paraId="648A9969">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p>
              </w:tc>
              <w:tc>
                <w:tcPr>
                  <w:tcW w:w="275" w:type="pct"/>
                  <w:tcBorders>
                    <w:tl2br w:val="nil"/>
                    <w:tr2bl w:val="nil"/>
                  </w:tcBorders>
                  <w:shd w:val="clear" w:color="auto" w:fill="auto"/>
                  <w:vAlign w:val="center"/>
                </w:tcPr>
                <w:p w14:paraId="4BB1B837">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2</w:t>
                  </w:r>
                </w:p>
              </w:tc>
              <w:tc>
                <w:tcPr>
                  <w:tcW w:w="435" w:type="pct"/>
                  <w:tcBorders>
                    <w:tl2br w:val="nil"/>
                    <w:tr2bl w:val="nil"/>
                  </w:tcBorders>
                  <w:shd w:val="clear" w:color="auto" w:fill="auto"/>
                  <w:vAlign w:val="center"/>
                </w:tcPr>
                <w:p w14:paraId="28F9314D">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项目重点难点分析、应对措施及相关的合理化建议</w:t>
                  </w:r>
                </w:p>
              </w:tc>
              <w:tc>
                <w:tcPr>
                  <w:tcW w:w="292" w:type="pct"/>
                  <w:tcBorders>
                    <w:tl2br w:val="nil"/>
                    <w:tr2bl w:val="nil"/>
                  </w:tcBorders>
                  <w:shd w:val="clear" w:color="auto" w:fill="auto"/>
                  <w:vAlign w:val="center"/>
                </w:tcPr>
                <w:p w14:paraId="75214915">
                  <w:pPr>
                    <w:keepNext w:val="0"/>
                    <w:keepLines w:val="0"/>
                    <w:pageBreakBefore w:val="0"/>
                    <w:widowControl/>
                    <w:kinsoku/>
                    <w:wordWrap/>
                    <w:overflowPunct/>
                    <w:topLinePunct w:val="0"/>
                    <w:bidi w:val="0"/>
                    <w:adjustRightInd/>
                    <w:snapToGrid/>
                    <w:ind w:left="0" w:leftChars="0"/>
                    <w:jc w:val="center"/>
                    <w:textAlignment w:val="auto"/>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rPr>
                    <w:t>1</w:t>
                  </w:r>
                  <w:r>
                    <w:rPr>
                      <w:rFonts w:hint="eastAsia" w:ascii="Times New Roman" w:hAnsi="Times New Roman" w:eastAsia="宋体" w:cs="宋体"/>
                      <w:color w:val="auto"/>
                      <w:kern w:val="0"/>
                      <w:szCs w:val="21"/>
                      <w:highlight w:val="none"/>
                      <w:lang w:val="en-US" w:eastAsia="zh-CN"/>
                    </w:rPr>
                    <w:t>0</w:t>
                  </w:r>
                </w:p>
              </w:tc>
              <w:tc>
                <w:tcPr>
                  <w:tcW w:w="3721" w:type="pct"/>
                  <w:tcBorders>
                    <w:tl2br w:val="nil"/>
                    <w:tr2bl w:val="nil"/>
                  </w:tcBorders>
                  <w:shd w:val="clear" w:color="auto" w:fill="auto"/>
                  <w:vAlign w:val="center"/>
                </w:tcPr>
                <w:p w14:paraId="655F637D">
                  <w:pPr>
                    <w:keepNext w:val="0"/>
                    <w:keepLines w:val="0"/>
                    <w:pageBreakBefore w:val="0"/>
                    <w:kinsoku/>
                    <w:wordWrap/>
                    <w:overflowPunct/>
                    <w:topLinePunct w:val="0"/>
                    <w:bidi w:val="0"/>
                    <w:adjustRightInd/>
                    <w:snapToGrid/>
                    <w:spacing w:line="240" w:lineRule="auto"/>
                    <w:ind w:left="0" w:leftChars="0"/>
                    <w:jc w:val="both"/>
                    <w:textAlignment w:val="auto"/>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kern w:val="0"/>
                      <w:szCs w:val="21"/>
                      <w:highlight w:val="none"/>
                    </w:rPr>
                    <w:t>投标人</w:t>
                  </w:r>
                  <w:r>
                    <w:rPr>
                      <w:rFonts w:hint="eastAsia" w:ascii="Times New Roman" w:hAnsi="Times New Roman" w:eastAsia="宋体" w:cs="宋体"/>
                      <w:color w:val="auto"/>
                      <w:sz w:val="21"/>
                      <w:szCs w:val="21"/>
                      <w:highlight w:val="none"/>
                    </w:rPr>
                    <w:t>从</w:t>
                  </w:r>
                  <w:r>
                    <w:rPr>
                      <w:rFonts w:hint="eastAsia" w:ascii="Times New Roman" w:hAnsi="Times New Roman" w:eastAsia="宋体" w:cs="宋体"/>
                      <w:color w:val="auto"/>
                      <w:sz w:val="21"/>
                      <w:szCs w:val="21"/>
                      <w:highlight w:val="none"/>
                      <w:lang w:val="en-US" w:eastAsia="zh-CN"/>
                    </w:rPr>
                    <w:t>项目</w:t>
                  </w:r>
                  <w:r>
                    <w:rPr>
                      <w:rFonts w:hint="eastAsia" w:ascii="Times New Roman" w:hAnsi="Times New Roman" w:eastAsia="宋体" w:cs="宋体"/>
                      <w:color w:val="auto"/>
                      <w:sz w:val="21"/>
                      <w:szCs w:val="21"/>
                      <w:highlight w:val="none"/>
                    </w:rPr>
                    <w:t>实际出发</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分析</w:t>
                  </w:r>
                  <w:r>
                    <w:rPr>
                      <w:rFonts w:hint="eastAsia" w:ascii="Times New Roman" w:hAnsi="Times New Roman" w:eastAsia="宋体" w:cs="宋体"/>
                      <w:color w:val="auto"/>
                      <w:sz w:val="21"/>
                      <w:szCs w:val="21"/>
                      <w:highlight w:val="none"/>
                      <w:lang w:val="en-US" w:eastAsia="zh-CN"/>
                    </w:rPr>
                    <w:t>本项目</w:t>
                  </w:r>
                  <w:r>
                    <w:rPr>
                      <w:rFonts w:hint="eastAsia" w:ascii="Times New Roman" w:hAnsi="Times New Roman" w:eastAsia="宋体" w:cs="宋体"/>
                      <w:color w:val="auto"/>
                      <w:sz w:val="21"/>
                      <w:szCs w:val="21"/>
                      <w:highlight w:val="none"/>
                    </w:rPr>
                    <w:t>建设的重点难点，</w:t>
                  </w:r>
                  <w:r>
                    <w:rPr>
                      <w:rFonts w:hint="eastAsia" w:ascii="Times New Roman" w:hAnsi="Times New Roman" w:eastAsia="宋体" w:cs="宋体"/>
                      <w:color w:val="auto"/>
                      <w:sz w:val="21"/>
                      <w:szCs w:val="21"/>
                      <w:highlight w:val="none"/>
                      <w:lang w:val="en-US" w:eastAsia="zh-CN"/>
                    </w:rPr>
                    <w:t>提出应对</w:t>
                  </w:r>
                  <w:r>
                    <w:rPr>
                      <w:rFonts w:hint="eastAsia" w:ascii="Times New Roman" w:hAnsi="Times New Roman" w:eastAsia="宋体" w:cs="宋体"/>
                      <w:color w:val="auto"/>
                      <w:sz w:val="21"/>
                      <w:szCs w:val="21"/>
                      <w:highlight w:val="none"/>
                    </w:rPr>
                    <w:t>措施、解决办法等</w:t>
                  </w:r>
                  <w:r>
                    <w:rPr>
                      <w:rFonts w:hint="eastAsia" w:ascii="Times New Roman" w:hAnsi="Times New Roman" w:eastAsia="宋体" w:cs="宋体"/>
                      <w:color w:val="auto"/>
                      <w:kern w:val="0"/>
                      <w:szCs w:val="21"/>
                      <w:highlight w:val="none"/>
                      <w:lang w:eastAsia="zh-CN"/>
                    </w:rPr>
                    <w:t>。</w:t>
                  </w:r>
                </w:p>
                <w:p w14:paraId="4CFBAD19">
                  <w:pPr>
                    <w:keepNext w:val="0"/>
                    <w:keepLines w:val="0"/>
                    <w:pageBreakBefore w:val="0"/>
                    <w:widowControl/>
                    <w:numPr>
                      <w:ilvl w:val="0"/>
                      <w:numId w:val="0"/>
                    </w:numPr>
                    <w:kinsoku/>
                    <w:wordWrap/>
                    <w:overflowPunct/>
                    <w:topLinePunct w:val="0"/>
                    <w:bidi w:val="0"/>
                    <w:adjustRightInd/>
                    <w:snapToGrid/>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一、</w:t>
                  </w:r>
                  <w:r>
                    <w:rPr>
                      <w:rFonts w:hint="eastAsia" w:ascii="Times New Roman" w:hAnsi="Times New Roman" w:eastAsia="宋体" w:cs="宋体"/>
                      <w:color w:val="auto"/>
                      <w:kern w:val="0"/>
                      <w:szCs w:val="21"/>
                      <w:highlight w:val="none"/>
                    </w:rPr>
                    <w:t>评分内容</w:t>
                  </w:r>
                </w:p>
                <w:p w14:paraId="2390CD35">
                  <w:pPr>
                    <w:spacing w:line="240" w:lineRule="auto"/>
                    <w:jc w:val="both"/>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1.服务方案对项目重点难点问题以及服务过程中可能出现的各类问题分析透彻、描述清晰。</w:t>
                  </w:r>
                </w:p>
                <w:p w14:paraId="324AB269">
                  <w:pPr>
                    <w:spacing w:line="240" w:lineRule="auto"/>
                    <w:jc w:val="both"/>
                    <w:rPr>
                      <w:rFonts w:hint="default"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sz w:val="21"/>
                      <w:szCs w:val="21"/>
                      <w:highlight w:val="none"/>
                      <w:lang w:val="en-US" w:eastAsia="zh-CN"/>
                    </w:rPr>
                    <w:t>2.服务方案提出的应对措施及相关建议合理、准确，</w:t>
                  </w:r>
                  <w:r>
                    <w:rPr>
                      <w:rFonts w:hint="eastAsia" w:ascii="Times New Roman" w:hAnsi="Times New Roman" w:eastAsia="宋体"/>
                      <w:color w:val="auto"/>
                      <w:sz w:val="21"/>
                      <w:szCs w:val="21"/>
                      <w:highlight w:val="none"/>
                      <w:lang w:val="en-US" w:eastAsia="zh-CN"/>
                    </w:rPr>
                    <w:t>有完善的处理流程。</w:t>
                  </w:r>
                </w:p>
                <w:p w14:paraId="40D1335E">
                  <w:pPr>
                    <w:keepNext w:val="0"/>
                    <w:keepLines w:val="0"/>
                    <w:pageBreakBefore w:val="0"/>
                    <w:widowControl/>
                    <w:kinsoku/>
                    <w:wordWrap/>
                    <w:overflowPunct/>
                    <w:topLinePunct w:val="0"/>
                    <w:bidi w:val="0"/>
                    <w:adjustRightInd/>
                    <w:snapToGrid/>
                    <w:ind w:left="0" w:leftChars="0"/>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二、</w:t>
                  </w:r>
                  <w:r>
                    <w:rPr>
                      <w:rFonts w:hint="eastAsia" w:ascii="Times New Roman" w:hAnsi="Times New Roman" w:eastAsia="宋体" w:cs="宋体"/>
                      <w:color w:val="auto"/>
                      <w:kern w:val="0"/>
                      <w:szCs w:val="21"/>
                      <w:highlight w:val="none"/>
                    </w:rPr>
                    <w:t>评分依据</w:t>
                  </w:r>
                </w:p>
                <w:p w14:paraId="016B67E0">
                  <w:pPr>
                    <w:keepNext w:val="0"/>
                    <w:keepLines w:val="0"/>
                    <w:pageBreakBefore w:val="0"/>
                    <w:widowControl/>
                    <w:kinsoku/>
                    <w:wordWrap/>
                    <w:overflowPunct/>
                    <w:topLinePunct w:val="0"/>
                    <w:bidi w:val="0"/>
                    <w:adjustRightInd/>
                    <w:snapToGrid/>
                    <w:ind w:left="0" w:leftChars="0"/>
                    <w:textAlignment w:val="auto"/>
                    <w:rPr>
                      <w:rFonts w:hint="eastAsia" w:ascii="Times New Roman" w:hAnsi="Times New Roman" w:eastAsia="宋体" w:cs="宋体"/>
                      <w:color w:val="auto"/>
                      <w:kern w:val="0"/>
                      <w:szCs w:val="21"/>
                      <w:highlight w:val="none"/>
                      <w:lang w:eastAsia="zh-CN"/>
                    </w:rPr>
                  </w:pPr>
                  <w:r>
                    <w:rPr>
                      <w:rFonts w:hint="eastAsia" w:ascii="Times New Roman" w:hAnsi="Times New Roman" w:eastAsia="宋体" w:cs="宋体"/>
                      <w:color w:val="auto"/>
                      <w:kern w:val="0"/>
                      <w:szCs w:val="21"/>
                      <w:highlight w:val="none"/>
                    </w:rPr>
                    <w:t>本项满分10分，</w:t>
                  </w:r>
                  <w:r>
                    <w:rPr>
                      <w:rFonts w:hint="eastAsia" w:ascii="Times New Roman" w:hAnsi="Times New Roman" w:eastAsia="宋体" w:cs="宋体"/>
                      <w:color w:val="auto"/>
                      <w:kern w:val="0"/>
                      <w:szCs w:val="21"/>
                      <w:highlight w:val="none"/>
                      <w:lang w:val="en-US" w:eastAsia="zh-CN"/>
                    </w:rPr>
                    <w:t>覆盖</w:t>
                  </w:r>
                  <w:r>
                    <w:rPr>
                      <w:rFonts w:hint="eastAsia" w:ascii="Times New Roman" w:hAnsi="Times New Roman" w:eastAsia="宋体" w:cs="宋体"/>
                      <w:color w:val="auto"/>
                      <w:kern w:val="0"/>
                      <w:szCs w:val="21"/>
                      <w:highlight w:val="none"/>
                    </w:rPr>
                    <w:t>以上</w:t>
                  </w:r>
                  <w:r>
                    <w:rPr>
                      <w:rFonts w:hint="eastAsia" w:ascii="Times New Roman" w:hAnsi="Times New Roman" w:eastAsia="宋体" w:cs="宋体"/>
                      <w:color w:val="auto"/>
                      <w:kern w:val="0"/>
                      <w:szCs w:val="21"/>
                      <w:highlight w:val="none"/>
                      <w:lang w:val="en-US" w:eastAsia="zh-CN"/>
                    </w:rPr>
                    <w:t>2</w:t>
                  </w:r>
                  <w:r>
                    <w:rPr>
                      <w:rFonts w:hint="eastAsia" w:ascii="Times New Roman" w:hAnsi="Times New Roman" w:eastAsia="宋体" w:cs="宋体"/>
                      <w:color w:val="auto"/>
                      <w:kern w:val="0"/>
                      <w:szCs w:val="21"/>
                      <w:highlight w:val="none"/>
                    </w:rPr>
                    <w:t>项全部内容的得</w:t>
                  </w:r>
                  <w:r>
                    <w:rPr>
                      <w:rFonts w:hint="eastAsia" w:ascii="Times New Roman" w:hAnsi="Times New Roman" w:eastAsia="宋体" w:cs="宋体"/>
                      <w:color w:val="auto"/>
                      <w:kern w:val="0"/>
                      <w:szCs w:val="21"/>
                      <w:highlight w:val="none"/>
                      <w:lang w:val="en-US" w:eastAsia="zh-CN"/>
                    </w:rPr>
                    <w:t>7</w:t>
                  </w:r>
                  <w:r>
                    <w:rPr>
                      <w:rFonts w:hint="eastAsia" w:ascii="Times New Roman" w:hAnsi="Times New Roman" w:eastAsia="宋体" w:cs="宋体"/>
                      <w:color w:val="auto"/>
                      <w:kern w:val="0"/>
                      <w:szCs w:val="21"/>
                      <w:highlight w:val="none"/>
                    </w:rPr>
                    <w:t>分，缺项不得分</w:t>
                  </w:r>
                  <w:r>
                    <w:rPr>
                      <w:rFonts w:hint="eastAsia" w:ascii="Times New Roman" w:hAnsi="Times New Roman" w:eastAsia="宋体" w:cs="宋体"/>
                      <w:color w:val="auto"/>
                      <w:kern w:val="0"/>
                      <w:szCs w:val="21"/>
                      <w:highlight w:val="none"/>
                      <w:lang w:eastAsia="zh-CN"/>
                    </w:rPr>
                    <w:t>。在此基础上，</w:t>
                  </w:r>
                  <w:r>
                    <w:rPr>
                      <w:rFonts w:hint="eastAsia" w:ascii="Times New Roman" w:hAnsi="Times New Roman" w:eastAsia="宋体" w:cs="宋体"/>
                      <w:color w:val="auto"/>
                      <w:kern w:val="0"/>
                      <w:szCs w:val="21"/>
                      <w:highlight w:val="none"/>
                      <w:lang w:val="en-US" w:eastAsia="zh-CN"/>
                    </w:rPr>
                    <w:t>评审</w:t>
                  </w:r>
                  <w:r>
                    <w:rPr>
                      <w:rFonts w:hint="eastAsia" w:ascii="Times New Roman" w:hAnsi="Times New Roman" w:eastAsia="宋体" w:cs="宋体"/>
                      <w:color w:val="auto"/>
                      <w:kern w:val="0"/>
                      <w:szCs w:val="21"/>
                      <w:highlight w:val="none"/>
                      <w:lang w:eastAsia="zh-CN"/>
                    </w:rPr>
                    <w:t>专家根据</w:t>
                  </w:r>
                  <w:r>
                    <w:rPr>
                      <w:rFonts w:hint="eastAsia" w:ascii="Times New Roman" w:hAnsi="Times New Roman" w:eastAsia="宋体" w:cs="宋体"/>
                      <w:color w:val="auto"/>
                      <w:kern w:val="0"/>
                      <w:szCs w:val="21"/>
                      <w:highlight w:val="none"/>
                      <w:lang w:val="en-US" w:eastAsia="zh-CN"/>
                    </w:rPr>
                    <w:t>投标人</w:t>
                  </w:r>
                  <w:r>
                    <w:rPr>
                      <w:rFonts w:hint="eastAsia" w:ascii="Times New Roman" w:hAnsi="Times New Roman" w:eastAsia="宋体" w:cs="宋体"/>
                      <w:color w:val="auto"/>
                      <w:kern w:val="0"/>
                      <w:szCs w:val="21"/>
                      <w:highlight w:val="none"/>
                      <w:lang w:eastAsia="zh-CN"/>
                    </w:rPr>
                    <w:t>具体响应内容按照量化的评审因素指标进一步评审：</w:t>
                  </w:r>
                </w:p>
                <w:p w14:paraId="2692AA48">
                  <w:pPr>
                    <w:keepNext w:val="0"/>
                    <w:keepLines w:val="0"/>
                    <w:pageBreakBefore w:val="0"/>
                    <w:widowControl/>
                    <w:kinsoku/>
                    <w:wordWrap/>
                    <w:overflowPunct/>
                    <w:topLinePunct w:val="0"/>
                    <w:bidi w:val="0"/>
                    <w:adjustRightInd/>
                    <w:snapToGrid/>
                    <w:ind w:left="0" w:leftChars="0"/>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1.</w:t>
                  </w:r>
                  <w:r>
                    <w:rPr>
                      <w:rFonts w:hint="eastAsia" w:ascii="Times New Roman" w:hAnsi="Times New Roman" w:eastAsia="宋体" w:cs="宋体"/>
                      <w:color w:val="auto"/>
                      <w:kern w:val="0"/>
                      <w:szCs w:val="21"/>
                      <w:highlight w:val="none"/>
                    </w:rPr>
                    <w:t>对重点难点描述全面，逻辑清晰</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rPr>
                    <w:t>方案科学合理，能提供有力保障措施，可操作性强，评审为优</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rPr>
                    <w:t>加</w:t>
                  </w:r>
                  <w:r>
                    <w:rPr>
                      <w:rFonts w:hint="eastAsia" w:ascii="Times New Roman" w:hAnsi="Times New Roman" w:eastAsia="宋体" w:cs="宋体"/>
                      <w:color w:val="auto"/>
                      <w:kern w:val="0"/>
                      <w:szCs w:val="21"/>
                      <w:highlight w:val="none"/>
                      <w:lang w:val="en-US" w:eastAsia="zh-CN"/>
                    </w:rPr>
                    <w:t>3</w:t>
                  </w:r>
                  <w:r>
                    <w:rPr>
                      <w:rFonts w:hint="eastAsia" w:ascii="Times New Roman" w:hAnsi="Times New Roman" w:eastAsia="宋体" w:cs="宋体"/>
                      <w:color w:val="auto"/>
                      <w:kern w:val="0"/>
                      <w:szCs w:val="21"/>
                      <w:highlight w:val="none"/>
                    </w:rPr>
                    <w:t>分。</w:t>
                  </w:r>
                </w:p>
                <w:p w14:paraId="62D0F5C6">
                  <w:pPr>
                    <w:keepNext w:val="0"/>
                    <w:keepLines w:val="0"/>
                    <w:pageBreakBefore w:val="0"/>
                    <w:widowControl/>
                    <w:kinsoku/>
                    <w:wordWrap/>
                    <w:overflowPunct/>
                    <w:topLinePunct w:val="0"/>
                    <w:bidi w:val="0"/>
                    <w:adjustRightInd/>
                    <w:snapToGrid/>
                    <w:ind w:left="0" w:leftChars="0"/>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2.</w:t>
                  </w:r>
                  <w:r>
                    <w:rPr>
                      <w:rFonts w:hint="eastAsia" w:ascii="Times New Roman" w:hAnsi="Times New Roman" w:eastAsia="宋体" w:cs="宋体"/>
                      <w:color w:val="auto"/>
                      <w:kern w:val="0"/>
                      <w:szCs w:val="21"/>
                      <w:highlight w:val="none"/>
                    </w:rPr>
                    <w:t>对重点难点描述较为全面</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rPr>
                    <w:t>方案相对合理、有一定针对性、有一定可操作性，评审为良</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rPr>
                    <w:t>加</w:t>
                  </w:r>
                  <w:r>
                    <w:rPr>
                      <w:rFonts w:hint="eastAsia" w:ascii="Times New Roman" w:hAnsi="Times New Roman" w:eastAsia="宋体" w:cs="宋体"/>
                      <w:color w:val="auto"/>
                      <w:kern w:val="0"/>
                      <w:szCs w:val="21"/>
                      <w:highlight w:val="none"/>
                      <w:lang w:val="en-US" w:eastAsia="zh-CN"/>
                    </w:rPr>
                    <w:t>2</w:t>
                  </w:r>
                  <w:r>
                    <w:rPr>
                      <w:rFonts w:hint="eastAsia" w:ascii="Times New Roman" w:hAnsi="Times New Roman" w:eastAsia="宋体" w:cs="宋体"/>
                      <w:color w:val="auto"/>
                      <w:kern w:val="0"/>
                      <w:szCs w:val="21"/>
                      <w:highlight w:val="none"/>
                    </w:rPr>
                    <w:t>分。</w:t>
                  </w:r>
                </w:p>
                <w:p w14:paraId="627ED313">
                  <w:pPr>
                    <w:keepNext w:val="0"/>
                    <w:keepLines w:val="0"/>
                    <w:pageBreakBefore w:val="0"/>
                    <w:widowControl/>
                    <w:kinsoku/>
                    <w:wordWrap/>
                    <w:overflowPunct/>
                    <w:topLinePunct w:val="0"/>
                    <w:bidi w:val="0"/>
                    <w:adjustRightInd/>
                    <w:snapToGrid/>
                    <w:ind w:left="0" w:leftChars="0"/>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3.</w:t>
                  </w:r>
                  <w:r>
                    <w:rPr>
                      <w:rFonts w:hint="eastAsia" w:ascii="Times New Roman" w:hAnsi="Times New Roman" w:eastAsia="宋体" w:cs="宋体"/>
                      <w:color w:val="auto"/>
                      <w:kern w:val="0"/>
                      <w:szCs w:val="21"/>
                      <w:highlight w:val="none"/>
                    </w:rPr>
                    <w:t>对重点难点描述基本合理，方案可操作性一般，评审为中</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rPr>
                    <w:t>加1分。</w:t>
                  </w:r>
                </w:p>
                <w:p w14:paraId="7B276864">
                  <w:pPr>
                    <w:keepNext w:val="0"/>
                    <w:keepLines w:val="0"/>
                    <w:pageBreakBefore w:val="0"/>
                    <w:widowControl/>
                    <w:kinsoku/>
                    <w:wordWrap/>
                    <w:overflowPunct/>
                    <w:topLinePunct w:val="0"/>
                    <w:bidi w:val="0"/>
                    <w:adjustRightInd/>
                    <w:snapToGrid/>
                    <w:ind w:left="0" w:leftChars="0"/>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4.</w:t>
                  </w:r>
                  <w:r>
                    <w:rPr>
                      <w:rFonts w:hint="eastAsia" w:ascii="Times New Roman" w:hAnsi="Times New Roman" w:eastAsia="宋体" w:cs="宋体"/>
                      <w:color w:val="auto"/>
                      <w:kern w:val="0"/>
                      <w:szCs w:val="21"/>
                      <w:highlight w:val="none"/>
                    </w:rPr>
                    <w:t>对重点难点描述不清晰，方案不合理、无可操作性，评审为差</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lang w:val="en-US" w:eastAsia="zh-CN"/>
                    </w:rPr>
                    <w:t>加</w:t>
                  </w:r>
                  <w:r>
                    <w:rPr>
                      <w:rFonts w:hint="eastAsia" w:ascii="Times New Roman" w:hAnsi="Times New Roman" w:eastAsia="宋体" w:cs="宋体"/>
                      <w:color w:val="auto"/>
                      <w:kern w:val="0"/>
                      <w:szCs w:val="21"/>
                      <w:highlight w:val="none"/>
                    </w:rPr>
                    <w:t>0分。如果评审为差，要求专家书面说明理由，并记录在档。</w:t>
                  </w:r>
                </w:p>
              </w:tc>
            </w:tr>
            <w:tr w14:paraId="2B9D9B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vMerge w:val="continue"/>
                  <w:tcBorders>
                    <w:tl2br w:val="nil"/>
                    <w:tr2bl w:val="nil"/>
                  </w:tcBorders>
                  <w:vAlign w:val="center"/>
                </w:tcPr>
                <w:p w14:paraId="1B62170C">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p>
              </w:tc>
              <w:tc>
                <w:tcPr>
                  <w:tcW w:w="275" w:type="pct"/>
                  <w:tcBorders>
                    <w:tl2br w:val="nil"/>
                    <w:tr2bl w:val="nil"/>
                  </w:tcBorders>
                  <w:shd w:val="clear" w:color="auto" w:fill="auto"/>
                  <w:vAlign w:val="center"/>
                </w:tcPr>
                <w:p w14:paraId="3B69134C">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3</w:t>
                  </w:r>
                </w:p>
              </w:tc>
              <w:tc>
                <w:tcPr>
                  <w:tcW w:w="435" w:type="pct"/>
                  <w:tcBorders>
                    <w:tl2br w:val="nil"/>
                    <w:tr2bl w:val="nil"/>
                  </w:tcBorders>
                  <w:shd w:val="clear" w:color="auto" w:fill="auto"/>
                  <w:vAlign w:val="center"/>
                </w:tcPr>
                <w:p w14:paraId="10DE5C01">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质量（完成时间、安全、环保）保障措施及方案</w:t>
                  </w:r>
                </w:p>
              </w:tc>
              <w:tc>
                <w:tcPr>
                  <w:tcW w:w="292" w:type="pct"/>
                  <w:tcBorders>
                    <w:tl2br w:val="nil"/>
                    <w:tr2bl w:val="nil"/>
                  </w:tcBorders>
                  <w:shd w:val="clear" w:color="auto" w:fill="auto"/>
                  <w:vAlign w:val="center"/>
                </w:tcPr>
                <w:p w14:paraId="62AE8FF9">
                  <w:pPr>
                    <w:keepNext w:val="0"/>
                    <w:keepLines w:val="0"/>
                    <w:pageBreakBefore w:val="0"/>
                    <w:widowControl/>
                    <w:kinsoku/>
                    <w:wordWrap/>
                    <w:overflowPunct/>
                    <w:topLinePunct w:val="0"/>
                    <w:bidi w:val="0"/>
                    <w:adjustRightInd/>
                    <w:snapToGrid/>
                    <w:ind w:left="0" w:leftChars="0"/>
                    <w:jc w:val="center"/>
                    <w:textAlignment w:val="auto"/>
                    <w:rPr>
                      <w:rFonts w:hint="default"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8</w:t>
                  </w:r>
                </w:p>
              </w:tc>
              <w:tc>
                <w:tcPr>
                  <w:tcW w:w="3721" w:type="pct"/>
                  <w:tcBorders>
                    <w:tl2br w:val="nil"/>
                    <w:tr2bl w:val="nil"/>
                  </w:tcBorders>
                  <w:shd w:val="clear" w:color="auto" w:fill="auto"/>
                  <w:vAlign w:val="center"/>
                </w:tcPr>
                <w:p w14:paraId="250B9433">
                  <w:pPr>
                    <w:keepNext w:val="0"/>
                    <w:keepLines w:val="0"/>
                    <w:pageBreakBefore w:val="0"/>
                    <w:widowControl/>
                    <w:kinsoku/>
                    <w:wordWrap/>
                    <w:overflowPunct/>
                    <w:topLinePunct w:val="0"/>
                    <w:bidi w:val="0"/>
                    <w:adjustRightInd/>
                    <w:snapToGrid/>
                    <w:ind w:left="0" w:leftChars="0"/>
                    <w:jc w:val="left"/>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一、</w:t>
                  </w:r>
                  <w:r>
                    <w:rPr>
                      <w:rFonts w:hint="eastAsia" w:ascii="Times New Roman" w:hAnsi="Times New Roman" w:eastAsia="宋体" w:cs="宋体"/>
                      <w:color w:val="auto"/>
                      <w:kern w:val="0"/>
                      <w:szCs w:val="21"/>
                      <w:highlight w:val="none"/>
                    </w:rPr>
                    <w:t>评分内容</w:t>
                  </w:r>
                </w:p>
                <w:p w14:paraId="1C33E4F1">
                  <w:pPr>
                    <w:keepNext w:val="0"/>
                    <w:keepLines w:val="0"/>
                    <w:pageBreakBefore w:val="0"/>
                    <w:widowControl/>
                    <w:kinsoku/>
                    <w:wordWrap/>
                    <w:overflowPunct/>
                    <w:topLinePunct w:val="0"/>
                    <w:bidi w:val="0"/>
                    <w:adjustRightInd/>
                    <w:snapToGrid/>
                    <w:ind w:left="0" w:leftChars="0"/>
                    <w:jc w:val="both"/>
                    <w:textAlignment w:val="auto"/>
                    <w:rPr>
                      <w:rFonts w:hint="eastAsia" w:ascii="Times New Roman" w:hAnsi="Times New Roman" w:eastAsia="宋体" w:cs="宋体"/>
                      <w:color w:val="auto"/>
                      <w:kern w:val="0"/>
                      <w:szCs w:val="21"/>
                      <w:highlight w:val="none"/>
                      <w:lang w:eastAsia="zh-CN"/>
                    </w:rPr>
                  </w:pPr>
                  <w:r>
                    <w:rPr>
                      <w:rFonts w:hint="eastAsia" w:ascii="Times New Roman" w:hAnsi="Times New Roman" w:eastAsia="宋体" w:cs="宋体"/>
                      <w:color w:val="auto"/>
                      <w:kern w:val="0"/>
                      <w:szCs w:val="21"/>
                      <w:highlight w:val="none"/>
                      <w:lang w:val="en-US" w:eastAsia="zh-CN"/>
                    </w:rPr>
                    <w:t>1.</w:t>
                  </w:r>
                  <w:r>
                    <w:rPr>
                      <w:rFonts w:hint="eastAsia" w:ascii="Times New Roman" w:hAnsi="Times New Roman" w:eastAsia="宋体" w:cs="宋体"/>
                      <w:color w:val="auto"/>
                      <w:kern w:val="0"/>
                      <w:szCs w:val="21"/>
                      <w:highlight w:val="none"/>
                    </w:rPr>
                    <w:t>项目进度计划</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lang w:val="en-US" w:eastAsia="zh-CN"/>
                    </w:rPr>
                    <w:t>应</w:t>
                  </w:r>
                  <w:r>
                    <w:rPr>
                      <w:rFonts w:hint="eastAsia" w:ascii="Times New Roman" w:hAnsi="Times New Roman" w:eastAsia="宋体"/>
                      <w:color w:val="auto"/>
                      <w:szCs w:val="21"/>
                      <w:highlight w:val="none"/>
                      <w:lang w:val="en-US" w:eastAsia="zh-CN"/>
                    </w:rPr>
                    <w:t>对本项目</w:t>
                  </w:r>
                  <w:r>
                    <w:rPr>
                      <w:rFonts w:hint="eastAsia" w:ascii="Times New Roman" w:hAnsi="Times New Roman" w:eastAsia="宋体" w:cs="宋体"/>
                      <w:color w:val="auto"/>
                      <w:kern w:val="0"/>
                      <w:szCs w:val="21"/>
                      <w:highlight w:val="none"/>
                    </w:rPr>
                    <w:t>制定合理的项目</w:t>
                  </w:r>
                  <w:r>
                    <w:rPr>
                      <w:rFonts w:hint="eastAsia" w:ascii="Times New Roman" w:hAnsi="Times New Roman" w:eastAsia="宋体" w:cs="宋体"/>
                      <w:color w:val="auto"/>
                      <w:kern w:val="0"/>
                      <w:szCs w:val="21"/>
                      <w:highlight w:val="none"/>
                      <w:lang w:val="en-US" w:eastAsia="zh-CN"/>
                    </w:rPr>
                    <w:t>实施</w:t>
                  </w:r>
                  <w:r>
                    <w:rPr>
                      <w:rFonts w:hint="eastAsia" w:ascii="Times New Roman" w:hAnsi="Times New Roman" w:eastAsia="宋体" w:cs="宋体"/>
                      <w:color w:val="auto"/>
                      <w:kern w:val="0"/>
                      <w:szCs w:val="21"/>
                      <w:highlight w:val="none"/>
                    </w:rPr>
                    <w:t>进度计划，从组织管理等方面提出切实可行的进度保证措施，</w:t>
                  </w:r>
                  <w:r>
                    <w:rPr>
                      <w:rFonts w:hint="eastAsia" w:ascii="Times New Roman" w:hAnsi="Times New Roman" w:eastAsia="宋体" w:cs="宋体"/>
                      <w:color w:val="auto"/>
                      <w:kern w:val="0"/>
                      <w:szCs w:val="21"/>
                      <w:highlight w:val="none"/>
                      <w:lang w:val="en-US" w:eastAsia="zh-CN"/>
                    </w:rPr>
                    <w:t>对</w:t>
                  </w:r>
                  <w:r>
                    <w:rPr>
                      <w:rFonts w:hint="eastAsia" w:ascii="Times New Roman" w:hAnsi="Times New Roman" w:eastAsia="宋体"/>
                      <w:color w:val="auto"/>
                      <w:sz w:val="21"/>
                      <w:szCs w:val="21"/>
                      <w:highlight w:val="none"/>
                    </w:rPr>
                    <w:t>工作任务应分解得当，</w:t>
                  </w:r>
                  <w:r>
                    <w:rPr>
                      <w:rFonts w:hint="eastAsia" w:ascii="Times New Roman" w:hAnsi="Times New Roman" w:eastAsia="宋体"/>
                      <w:color w:val="auto"/>
                      <w:sz w:val="21"/>
                      <w:szCs w:val="21"/>
                      <w:highlight w:val="none"/>
                      <w:lang w:val="en-US" w:eastAsia="zh-CN"/>
                    </w:rPr>
                    <w:t>体现了日程</w:t>
                  </w:r>
                  <w:r>
                    <w:rPr>
                      <w:rFonts w:hint="eastAsia" w:ascii="Times New Roman" w:hAnsi="Times New Roman" w:eastAsia="宋体"/>
                      <w:color w:val="auto"/>
                      <w:sz w:val="21"/>
                      <w:szCs w:val="21"/>
                      <w:highlight w:val="none"/>
                    </w:rPr>
                    <w:t>安排、进度控制合理</w:t>
                  </w:r>
                  <w:r>
                    <w:rPr>
                      <w:rFonts w:hint="eastAsia" w:ascii="Times New Roman" w:hAnsi="Times New Roman" w:eastAsia="宋体"/>
                      <w:color w:val="auto"/>
                      <w:sz w:val="21"/>
                      <w:szCs w:val="21"/>
                      <w:highlight w:val="none"/>
                      <w:lang w:eastAsia="zh-CN"/>
                    </w:rPr>
                    <w:t>，</w:t>
                  </w:r>
                  <w:r>
                    <w:rPr>
                      <w:rFonts w:hint="eastAsia" w:ascii="Times New Roman" w:hAnsi="Times New Roman" w:eastAsia="宋体" w:cs="宋体"/>
                      <w:color w:val="auto"/>
                      <w:kern w:val="0"/>
                      <w:szCs w:val="21"/>
                      <w:highlight w:val="none"/>
                    </w:rPr>
                    <w:t>确保实现项目进度目标</w:t>
                  </w:r>
                  <w:r>
                    <w:rPr>
                      <w:rFonts w:hint="eastAsia" w:ascii="Times New Roman" w:hAnsi="Times New Roman" w:eastAsia="宋体" w:cs="宋体"/>
                      <w:color w:val="auto"/>
                      <w:kern w:val="0"/>
                      <w:szCs w:val="21"/>
                      <w:highlight w:val="none"/>
                      <w:lang w:eastAsia="zh-CN"/>
                    </w:rPr>
                    <w:t>。</w:t>
                  </w:r>
                </w:p>
                <w:p w14:paraId="56E28837">
                  <w:pPr>
                    <w:keepNext w:val="0"/>
                    <w:keepLines w:val="0"/>
                    <w:pageBreakBefore w:val="0"/>
                    <w:widowControl/>
                    <w:kinsoku/>
                    <w:wordWrap/>
                    <w:overflowPunct/>
                    <w:topLinePunct w:val="0"/>
                    <w:bidi w:val="0"/>
                    <w:adjustRightInd/>
                    <w:snapToGrid/>
                    <w:ind w:left="0" w:leftChars="0"/>
                    <w:jc w:val="both"/>
                    <w:textAlignment w:val="auto"/>
                    <w:rPr>
                      <w:rFonts w:hint="default" w:ascii="Times New Roman" w:hAnsi="Times New Roman" w:eastAsia="宋体"/>
                      <w:color w:val="auto"/>
                      <w:sz w:val="21"/>
                      <w:szCs w:val="21"/>
                      <w:highlight w:val="none"/>
                      <w:lang w:val="en-US" w:eastAsia="zh-CN"/>
                    </w:rPr>
                  </w:pPr>
                  <w:r>
                    <w:rPr>
                      <w:rFonts w:hint="eastAsia" w:ascii="Times New Roman" w:hAnsi="Times New Roman" w:eastAsia="宋体" w:cs="宋体"/>
                      <w:color w:val="auto"/>
                      <w:kern w:val="0"/>
                      <w:szCs w:val="21"/>
                      <w:highlight w:val="none"/>
                      <w:lang w:val="en-US" w:eastAsia="zh-CN"/>
                    </w:rPr>
                    <w:t>2.项目</w:t>
                  </w:r>
                  <w:r>
                    <w:rPr>
                      <w:rFonts w:hint="eastAsia" w:ascii="Times New Roman" w:hAnsi="Times New Roman" w:eastAsia="宋体" w:cs="宋体"/>
                      <w:color w:val="auto"/>
                      <w:kern w:val="0"/>
                      <w:szCs w:val="21"/>
                      <w:highlight w:val="none"/>
                    </w:rPr>
                    <w:t>质量保障</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lang w:val="en-US" w:eastAsia="zh-CN"/>
                    </w:rPr>
                    <w:t>应</w:t>
                  </w:r>
                  <w:r>
                    <w:rPr>
                      <w:rFonts w:hint="eastAsia" w:ascii="Times New Roman" w:hAnsi="Times New Roman" w:eastAsia="宋体"/>
                      <w:color w:val="auto"/>
                      <w:szCs w:val="21"/>
                      <w:highlight w:val="none"/>
                      <w:lang w:val="en-US" w:eastAsia="zh-CN"/>
                    </w:rPr>
                    <w:t>对本项目</w:t>
                  </w:r>
                  <w:r>
                    <w:rPr>
                      <w:rFonts w:hint="eastAsia" w:ascii="Times New Roman" w:hAnsi="Times New Roman" w:eastAsia="宋体" w:cs="宋体"/>
                      <w:color w:val="auto"/>
                      <w:kern w:val="0"/>
                      <w:szCs w:val="21"/>
                      <w:highlight w:val="none"/>
                      <w:lang w:val="en-US" w:eastAsia="zh-CN"/>
                    </w:rPr>
                    <w:t>制定</w:t>
                  </w:r>
                  <w:r>
                    <w:rPr>
                      <w:rFonts w:hint="eastAsia" w:ascii="Times New Roman" w:hAnsi="Times New Roman" w:eastAsia="宋体"/>
                      <w:color w:val="auto"/>
                      <w:sz w:val="21"/>
                      <w:szCs w:val="21"/>
                      <w:highlight w:val="none"/>
                    </w:rPr>
                    <w:t>质量保障</w:t>
                  </w:r>
                  <w:r>
                    <w:rPr>
                      <w:rFonts w:hint="eastAsia" w:ascii="Times New Roman" w:hAnsi="Times New Roman" w:eastAsia="宋体"/>
                      <w:color w:val="auto"/>
                      <w:sz w:val="21"/>
                      <w:szCs w:val="21"/>
                      <w:highlight w:val="none"/>
                      <w:lang w:val="en-US" w:eastAsia="zh-CN"/>
                    </w:rPr>
                    <w:t>方案，</w:t>
                  </w:r>
                  <w:r>
                    <w:rPr>
                      <w:rFonts w:hint="eastAsia" w:ascii="Times New Roman" w:hAnsi="Times New Roman" w:eastAsia="宋体" w:cs="宋体"/>
                      <w:color w:val="auto"/>
                      <w:sz w:val="21"/>
                      <w:szCs w:val="21"/>
                      <w:highlight w:val="none"/>
                    </w:rPr>
                    <w:t>提出</w:t>
                  </w:r>
                  <w:r>
                    <w:rPr>
                      <w:rFonts w:hint="eastAsia" w:ascii="Times New Roman" w:hAnsi="Times New Roman" w:eastAsia="宋体"/>
                      <w:color w:val="auto"/>
                      <w:sz w:val="21"/>
                      <w:szCs w:val="21"/>
                      <w:highlight w:val="none"/>
                    </w:rPr>
                    <w:t>质量保障措施可行、合理，采取的质量管理方法全面、准确、得当</w:t>
                  </w:r>
                  <w:r>
                    <w:rPr>
                      <w:rFonts w:hint="eastAsia" w:ascii="Times New Roman" w:hAnsi="Times New Roman" w:eastAsia="宋体"/>
                      <w:color w:val="auto"/>
                      <w:sz w:val="21"/>
                      <w:szCs w:val="21"/>
                      <w:highlight w:val="none"/>
                      <w:lang w:eastAsia="zh-CN"/>
                    </w:rPr>
                    <w:t>。</w:t>
                  </w:r>
                </w:p>
                <w:p w14:paraId="2AADD86A">
                  <w:pPr>
                    <w:keepNext w:val="0"/>
                    <w:keepLines w:val="0"/>
                    <w:pageBreakBefore w:val="0"/>
                    <w:widowControl/>
                    <w:kinsoku/>
                    <w:wordWrap/>
                    <w:overflowPunct/>
                    <w:topLinePunct w:val="0"/>
                    <w:bidi w:val="0"/>
                    <w:adjustRightInd/>
                    <w:snapToGrid/>
                    <w:ind w:left="0" w:leftChars="0"/>
                    <w:jc w:val="both"/>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3</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rPr>
                    <w:t>服务团队方案</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lang w:val="en-US" w:eastAsia="zh-CN"/>
                    </w:rPr>
                    <w:t>应</w:t>
                  </w:r>
                  <w:r>
                    <w:rPr>
                      <w:rFonts w:hint="eastAsia" w:ascii="Times New Roman" w:hAnsi="Times New Roman" w:eastAsia="宋体"/>
                      <w:color w:val="auto"/>
                      <w:szCs w:val="21"/>
                      <w:highlight w:val="none"/>
                      <w:lang w:val="en-US" w:eastAsia="zh-CN"/>
                    </w:rPr>
                    <w:t>对本项目</w:t>
                  </w:r>
                  <w:r>
                    <w:rPr>
                      <w:rFonts w:hint="eastAsia" w:ascii="Times New Roman" w:hAnsi="Times New Roman" w:eastAsia="宋体" w:cs="宋体"/>
                      <w:color w:val="auto"/>
                      <w:kern w:val="0"/>
                      <w:szCs w:val="21"/>
                      <w:highlight w:val="none"/>
                      <w:lang w:val="en-US" w:eastAsia="zh-CN"/>
                    </w:rPr>
                    <w:t>建立项目服务团队，</w:t>
                  </w:r>
                  <w:r>
                    <w:rPr>
                      <w:rFonts w:hint="eastAsia" w:ascii="Times New Roman" w:hAnsi="Times New Roman" w:eastAsia="宋体" w:cs="宋体"/>
                      <w:color w:val="auto"/>
                      <w:sz w:val="21"/>
                      <w:szCs w:val="21"/>
                      <w:highlight w:val="none"/>
                      <w:lang w:val="en-US" w:eastAsia="zh-CN"/>
                    </w:rPr>
                    <w:t>有完整的</w:t>
                  </w:r>
                  <w:r>
                    <w:rPr>
                      <w:rFonts w:hint="eastAsia" w:ascii="Times New Roman" w:hAnsi="Times New Roman" w:eastAsia="宋体" w:cs="宋体"/>
                      <w:color w:val="auto"/>
                      <w:sz w:val="21"/>
                      <w:szCs w:val="21"/>
                      <w:highlight w:val="none"/>
                    </w:rPr>
                    <w:t>组织架构、角色分工</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人员</w:t>
                  </w:r>
                  <w:r>
                    <w:rPr>
                      <w:rFonts w:hint="eastAsia" w:ascii="Times New Roman" w:hAnsi="Times New Roman" w:eastAsia="宋体" w:cs="宋体"/>
                      <w:color w:val="auto"/>
                      <w:sz w:val="21"/>
                      <w:szCs w:val="21"/>
                      <w:highlight w:val="none"/>
                    </w:rPr>
                    <w:t>安排、资源调度合理</w:t>
                  </w:r>
                  <w:r>
                    <w:rPr>
                      <w:rFonts w:hint="eastAsia" w:ascii="Times New Roman" w:hAnsi="Times New Roman" w:eastAsia="宋体" w:cs="宋体"/>
                      <w:color w:val="auto"/>
                      <w:sz w:val="21"/>
                      <w:szCs w:val="21"/>
                      <w:highlight w:val="none"/>
                      <w:lang w:eastAsia="zh-CN"/>
                    </w:rPr>
                    <w:t>。</w:t>
                  </w:r>
                </w:p>
                <w:p w14:paraId="103B45CA">
                  <w:pPr>
                    <w:keepNext w:val="0"/>
                    <w:keepLines w:val="0"/>
                    <w:pageBreakBefore w:val="0"/>
                    <w:widowControl/>
                    <w:kinsoku/>
                    <w:wordWrap/>
                    <w:overflowPunct/>
                    <w:topLinePunct w:val="0"/>
                    <w:bidi w:val="0"/>
                    <w:adjustRightInd/>
                    <w:snapToGrid/>
                    <w:ind w:left="0" w:leftChars="0"/>
                    <w:jc w:val="left"/>
                    <w:textAlignment w:val="auto"/>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二、</w:t>
                  </w:r>
                  <w:r>
                    <w:rPr>
                      <w:rFonts w:hint="eastAsia" w:ascii="Times New Roman" w:hAnsi="Times New Roman" w:eastAsia="宋体" w:cs="宋体"/>
                      <w:color w:val="auto"/>
                      <w:kern w:val="0"/>
                      <w:szCs w:val="21"/>
                      <w:highlight w:val="none"/>
                    </w:rPr>
                    <w:t>评分</w:t>
                  </w:r>
                  <w:r>
                    <w:rPr>
                      <w:rFonts w:hint="eastAsia" w:ascii="Times New Roman" w:hAnsi="Times New Roman" w:eastAsia="宋体" w:cs="宋体"/>
                      <w:color w:val="auto"/>
                      <w:kern w:val="0"/>
                      <w:szCs w:val="21"/>
                      <w:highlight w:val="none"/>
                      <w:lang w:val="en-US" w:eastAsia="zh-CN"/>
                    </w:rPr>
                    <w:t>依据</w:t>
                  </w:r>
                </w:p>
                <w:p w14:paraId="75D20B12">
                  <w:pPr>
                    <w:keepNext w:val="0"/>
                    <w:keepLines w:val="0"/>
                    <w:pageBreakBefore w:val="0"/>
                    <w:widowControl/>
                    <w:kinsoku/>
                    <w:wordWrap/>
                    <w:overflowPunct/>
                    <w:topLinePunct w:val="0"/>
                    <w:bidi w:val="0"/>
                    <w:adjustRightInd/>
                    <w:snapToGrid/>
                    <w:ind w:left="0" w:leftChars="0"/>
                    <w:textAlignment w:val="auto"/>
                    <w:rPr>
                      <w:rFonts w:hint="eastAsia" w:ascii="Times New Roman" w:hAnsi="Times New Roman" w:eastAsia="宋体" w:cs="宋体"/>
                      <w:color w:val="auto"/>
                      <w:kern w:val="0"/>
                      <w:szCs w:val="21"/>
                      <w:highlight w:val="none"/>
                      <w:lang w:eastAsia="zh-CN"/>
                    </w:rPr>
                  </w:pPr>
                  <w:r>
                    <w:rPr>
                      <w:rFonts w:hint="eastAsia" w:ascii="Times New Roman" w:hAnsi="Times New Roman" w:eastAsia="宋体" w:cs="宋体"/>
                      <w:color w:val="auto"/>
                      <w:kern w:val="0"/>
                      <w:szCs w:val="21"/>
                      <w:highlight w:val="none"/>
                    </w:rPr>
                    <w:t>本项满分</w:t>
                  </w:r>
                  <w:r>
                    <w:rPr>
                      <w:rFonts w:hint="eastAsia" w:ascii="Times New Roman" w:hAnsi="Times New Roman" w:eastAsia="宋体" w:cs="宋体"/>
                      <w:color w:val="auto"/>
                      <w:kern w:val="0"/>
                      <w:szCs w:val="21"/>
                      <w:highlight w:val="none"/>
                      <w:lang w:val="en-US" w:eastAsia="zh-CN"/>
                    </w:rPr>
                    <w:t>8</w:t>
                  </w:r>
                  <w:r>
                    <w:rPr>
                      <w:rFonts w:hint="eastAsia" w:ascii="Times New Roman" w:hAnsi="Times New Roman" w:eastAsia="宋体" w:cs="宋体"/>
                      <w:color w:val="auto"/>
                      <w:kern w:val="0"/>
                      <w:szCs w:val="21"/>
                      <w:highlight w:val="none"/>
                    </w:rPr>
                    <w:t>分，</w:t>
                  </w:r>
                  <w:r>
                    <w:rPr>
                      <w:rFonts w:hint="eastAsia" w:ascii="Times New Roman" w:hAnsi="Times New Roman" w:eastAsia="宋体" w:cs="宋体"/>
                      <w:color w:val="auto"/>
                      <w:kern w:val="0"/>
                      <w:szCs w:val="21"/>
                      <w:highlight w:val="none"/>
                      <w:lang w:val="en-US" w:eastAsia="zh-CN"/>
                    </w:rPr>
                    <w:t>覆盖</w:t>
                  </w:r>
                  <w:r>
                    <w:rPr>
                      <w:rFonts w:hint="eastAsia" w:ascii="Times New Roman" w:hAnsi="Times New Roman" w:eastAsia="宋体" w:cs="宋体"/>
                      <w:color w:val="auto"/>
                      <w:kern w:val="0"/>
                      <w:szCs w:val="21"/>
                      <w:highlight w:val="none"/>
                    </w:rPr>
                    <w:t>以上</w:t>
                  </w:r>
                  <w:r>
                    <w:rPr>
                      <w:rFonts w:hint="eastAsia" w:ascii="Times New Roman" w:hAnsi="Times New Roman" w:eastAsia="宋体" w:cs="宋体"/>
                      <w:color w:val="auto"/>
                      <w:kern w:val="0"/>
                      <w:szCs w:val="21"/>
                      <w:highlight w:val="none"/>
                      <w:lang w:val="en-US" w:eastAsia="zh-CN"/>
                    </w:rPr>
                    <w:t>3</w:t>
                  </w:r>
                  <w:r>
                    <w:rPr>
                      <w:rFonts w:hint="eastAsia" w:ascii="Times New Roman" w:hAnsi="Times New Roman" w:eastAsia="宋体" w:cs="宋体"/>
                      <w:color w:val="auto"/>
                      <w:kern w:val="0"/>
                      <w:szCs w:val="21"/>
                      <w:highlight w:val="none"/>
                    </w:rPr>
                    <w:t>项全部内容的得</w:t>
                  </w:r>
                  <w:r>
                    <w:rPr>
                      <w:rFonts w:hint="eastAsia" w:ascii="Times New Roman" w:hAnsi="Times New Roman" w:eastAsia="宋体" w:cs="宋体"/>
                      <w:color w:val="auto"/>
                      <w:kern w:val="0"/>
                      <w:szCs w:val="21"/>
                      <w:highlight w:val="none"/>
                      <w:lang w:val="en-US" w:eastAsia="zh-CN"/>
                    </w:rPr>
                    <w:t>5</w:t>
                  </w:r>
                  <w:r>
                    <w:rPr>
                      <w:rFonts w:hint="eastAsia" w:ascii="Times New Roman" w:hAnsi="Times New Roman" w:eastAsia="宋体" w:cs="宋体"/>
                      <w:color w:val="auto"/>
                      <w:kern w:val="0"/>
                      <w:szCs w:val="21"/>
                      <w:highlight w:val="none"/>
                    </w:rPr>
                    <w:t>分，缺项不得分</w:t>
                  </w:r>
                  <w:r>
                    <w:rPr>
                      <w:rFonts w:hint="eastAsia" w:ascii="Times New Roman" w:hAnsi="Times New Roman" w:eastAsia="宋体" w:cs="宋体"/>
                      <w:color w:val="auto"/>
                      <w:kern w:val="0"/>
                      <w:szCs w:val="21"/>
                      <w:highlight w:val="none"/>
                      <w:lang w:eastAsia="zh-CN"/>
                    </w:rPr>
                    <w:t>。在此基础上，</w:t>
                  </w:r>
                  <w:r>
                    <w:rPr>
                      <w:rFonts w:hint="eastAsia" w:ascii="Times New Roman" w:hAnsi="Times New Roman" w:eastAsia="宋体" w:cs="宋体"/>
                      <w:color w:val="auto"/>
                      <w:kern w:val="0"/>
                      <w:szCs w:val="21"/>
                      <w:highlight w:val="none"/>
                      <w:lang w:val="en-US" w:eastAsia="zh-CN"/>
                    </w:rPr>
                    <w:t>评审</w:t>
                  </w:r>
                  <w:r>
                    <w:rPr>
                      <w:rFonts w:hint="eastAsia" w:ascii="Times New Roman" w:hAnsi="Times New Roman" w:eastAsia="宋体" w:cs="宋体"/>
                      <w:color w:val="auto"/>
                      <w:kern w:val="0"/>
                      <w:szCs w:val="21"/>
                      <w:highlight w:val="none"/>
                      <w:lang w:eastAsia="zh-CN"/>
                    </w:rPr>
                    <w:t>专家根据</w:t>
                  </w:r>
                  <w:r>
                    <w:rPr>
                      <w:rFonts w:hint="eastAsia" w:ascii="Times New Roman" w:hAnsi="Times New Roman" w:eastAsia="宋体" w:cs="宋体"/>
                      <w:color w:val="auto"/>
                      <w:kern w:val="0"/>
                      <w:szCs w:val="21"/>
                      <w:highlight w:val="none"/>
                      <w:lang w:val="en-US" w:eastAsia="zh-CN"/>
                    </w:rPr>
                    <w:t>投标人</w:t>
                  </w:r>
                  <w:r>
                    <w:rPr>
                      <w:rFonts w:hint="eastAsia" w:ascii="Times New Roman" w:hAnsi="Times New Roman" w:eastAsia="宋体" w:cs="宋体"/>
                      <w:color w:val="auto"/>
                      <w:kern w:val="0"/>
                      <w:szCs w:val="21"/>
                      <w:highlight w:val="none"/>
                      <w:lang w:eastAsia="zh-CN"/>
                    </w:rPr>
                    <w:t>具体响应内容按照量化的评审因素指标进一步评审：</w:t>
                  </w:r>
                </w:p>
                <w:p w14:paraId="5798616A">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1、</w:t>
                  </w:r>
                  <w:r>
                    <w:rPr>
                      <w:rFonts w:hint="eastAsia" w:ascii="Times New Roman" w:hAnsi="Times New Roman" w:eastAsia="宋体" w:cs="宋体"/>
                      <w:color w:val="auto"/>
                      <w:kern w:val="0"/>
                      <w:szCs w:val="21"/>
                      <w:highlight w:val="none"/>
                    </w:rPr>
                    <w:t>方案符合实际、完整、规范、思路清晰，内容合理性强，评审为优</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rPr>
                    <w:t>加</w:t>
                  </w:r>
                  <w:r>
                    <w:rPr>
                      <w:rFonts w:hint="eastAsia" w:ascii="Times New Roman" w:hAnsi="Times New Roman" w:eastAsia="宋体" w:cs="宋体"/>
                      <w:color w:val="auto"/>
                      <w:kern w:val="0"/>
                      <w:szCs w:val="21"/>
                      <w:highlight w:val="none"/>
                      <w:lang w:val="en-US" w:eastAsia="zh-CN"/>
                    </w:rPr>
                    <w:t>3</w:t>
                  </w:r>
                  <w:r>
                    <w:rPr>
                      <w:rFonts w:hint="eastAsia" w:ascii="Times New Roman" w:hAnsi="Times New Roman" w:eastAsia="宋体" w:cs="宋体"/>
                      <w:color w:val="auto"/>
                      <w:kern w:val="0"/>
                      <w:szCs w:val="21"/>
                      <w:highlight w:val="none"/>
                    </w:rPr>
                    <w:t>分。</w:t>
                  </w:r>
                </w:p>
                <w:p w14:paraId="542607E2">
                  <w:pPr>
                    <w:keepNext w:val="0"/>
                    <w:keepLines w:val="0"/>
                    <w:pageBreakBefore w:val="0"/>
                    <w:widowControl/>
                    <w:kinsoku/>
                    <w:wordWrap/>
                    <w:overflowPunct/>
                    <w:topLinePunct w:val="0"/>
                    <w:bidi w:val="0"/>
                    <w:adjustRightInd/>
                    <w:snapToGrid/>
                    <w:ind w:left="0" w:leftChars="0"/>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2、</w:t>
                  </w:r>
                  <w:r>
                    <w:rPr>
                      <w:rFonts w:hint="eastAsia" w:ascii="Times New Roman" w:hAnsi="Times New Roman" w:eastAsia="宋体" w:cs="宋体"/>
                      <w:color w:val="auto"/>
                      <w:kern w:val="0"/>
                      <w:szCs w:val="21"/>
                      <w:highlight w:val="none"/>
                    </w:rPr>
                    <w:t>方案较符合实际、较完整规范、思路较清晰，内容合理性较强，评审为</w:t>
                  </w:r>
                  <w:r>
                    <w:rPr>
                      <w:rFonts w:hint="eastAsia" w:ascii="Times New Roman" w:hAnsi="Times New Roman" w:eastAsia="宋体" w:cs="宋体"/>
                      <w:color w:val="auto"/>
                      <w:kern w:val="0"/>
                      <w:szCs w:val="21"/>
                      <w:highlight w:val="none"/>
                      <w:lang w:val="en-US" w:eastAsia="zh-CN"/>
                    </w:rPr>
                    <w:t>良，</w:t>
                  </w:r>
                  <w:r>
                    <w:rPr>
                      <w:rFonts w:hint="eastAsia" w:ascii="Times New Roman" w:hAnsi="Times New Roman" w:eastAsia="宋体" w:cs="宋体"/>
                      <w:color w:val="auto"/>
                      <w:kern w:val="0"/>
                      <w:szCs w:val="21"/>
                      <w:highlight w:val="none"/>
                    </w:rPr>
                    <w:t>加</w:t>
                  </w:r>
                  <w:r>
                    <w:rPr>
                      <w:rFonts w:hint="eastAsia" w:ascii="Times New Roman" w:hAnsi="Times New Roman" w:eastAsia="宋体" w:cs="宋体"/>
                      <w:color w:val="auto"/>
                      <w:kern w:val="0"/>
                      <w:szCs w:val="21"/>
                      <w:highlight w:val="none"/>
                      <w:lang w:val="en-US" w:eastAsia="zh-CN"/>
                    </w:rPr>
                    <w:t>2</w:t>
                  </w:r>
                  <w:r>
                    <w:rPr>
                      <w:rFonts w:hint="eastAsia" w:ascii="Times New Roman" w:hAnsi="Times New Roman" w:eastAsia="宋体" w:cs="宋体"/>
                      <w:color w:val="auto"/>
                      <w:kern w:val="0"/>
                      <w:szCs w:val="21"/>
                      <w:highlight w:val="none"/>
                    </w:rPr>
                    <w:t>分。</w:t>
                  </w:r>
                </w:p>
                <w:p w14:paraId="061B1A8F">
                  <w:pPr>
                    <w:keepNext w:val="0"/>
                    <w:keepLines w:val="0"/>
                    <w:pageBreakBefore w:val="0"/>
                    <w:widowControl/>
                    <w:kinsoku/>
                    <w:wordWrap/>
                    <w:overflowPunct/>
                    <w:topLinePunct w:val="0"/>
                    <w:bidi w:val="0"/>
                    <w:adjustRightInd/>
                    <w:snapToGrid/>
                    <w:ind w:left="0" w:leftChars="0"/>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3、</w:t>
                  </w:r>
                  <w:r>
                    <w:rPr>
                      <w:rFonts w:hint="eastAsia" w:ascii="Times New Roman" w:hAnsi="Times New Roman" w:eastAsia="宋体" w:cs="宋体"/>
                      <w:color w:val="auto"/>
                      <w:kern w:val="0"/>
                      <w:szCs w:val="21"/>
                      <w:highlight w:val="none"/>
                    </w:rPr>
                    <w:t>方案较普通、完整性、规范性一般，思路不够清晰，内容合理性一般，评审为</w:t>
                  </w:r>
                  <w:r>
                    <w:rPr>
                      <w:rFonts w:hint="eastAsia" w:ascii="Times New Roman" w:hAnsi="Times New Roman" w:eastAsia="宋体" w:cs="宋体"/>
                      <w:color w:val="auto"/>
                      <w:kern w:val="0"/>
                      <w:szCs w:val="21"/>
                      <w:highlight w:val="none"/>
                      <w:lang w:val="en-US" w:eastAsia="zh-CN"/>
                    </w:rPr>
                    <w:t>中，</w:t>
                  </w:r>
                  <w:r>
                    <w:rPr>
                      <w:rFonts w:hint="eastAsia" w:ascii="Times New Roman" w:hAnsi="Times New Roman" w:eastAsia="宋体" w:cs="宋体"/>
                      <w:color w:val="auto"/>
                      <w:kern w:val="0"/>
                      <w:szCs w:val="21"/>
                      <w:highlight w:val="none"/>
                    </w:rPr>
                    <w:t>加</w:t>
                  </w:r>
                  <w:r>
                    <w:rPr>
                      <w:rFonts w:hint="eastAsia" w:ascii="Times New Roman" w:hAnsi="Times New Roman" w:eastAsia="宋体" w:cs="宋体"/>
                      <w:color w:val="auto"/>
                      <w:kern w:val="0"/>
                      <w:szCs w:val="21"/>
                      <w:highlight w:val="none"/>
                      <w:lang w:val="en-US" w:eastAsia="zh-CN"/>
                    </w:rPr>
                    <w:t>1</w:t>
                  </w:r>
                  <w:r>
                    <w:rPr>
                      <w:rFonts w:hint="eastAsia" w:ascii="Times New Roman" w:hAnsi="Times New Roman" w:eastAsia="宋体" w:cs="宋体"/>
                      <w:color w:val="auto"/>
                      <w:kern w:val="0"/>
                      <w:szCs w:val="21"/>
                      <w:highlight w:val="none"/>
                    </w:rPr>
                    <w:t>分。</w:t>
                  </w:r>
                </w:p>
                <w:p w14:paraId="38BA432C">
                  <w:pPr>
                    <w:keepNext w:val="0"/>
                    <w:keepLines w:val="0"/>
                    <w:pageBreakBefore w:val="0"/>
                    <w:widowControl/>
                    <w:kinsoku/>
                    <w:wordWrap/>
                    <w:overflowPunct/>
                    <w:topLinePunct w:val="0"/>
                    <w:bidi w:val="0"/>
                    <w:adjustRightInd/>
                    <w:snapToGrid/>
                    <w:ind w:left="0" w:leftChars="0"/>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4、</w:t>
                  </w:r>
                  <w:r>
                    <w:rPr>
                      <w:rFonts w:hint="eastAsia" w:ascii="Times New Roman" w:hAnsi="Times New Roman" w:eastAsia="宋体" w:cs="宋体"/>
                      <w:color w:val="auto"/>
                      <w:kern w:val="0"/>
                      <w:szCs w:val="21"/>
                      <w:highlight w:val="none"/>
                    </w:rPr>
                    <w:t>方案不完整、不规范，思路不清晰，内容合理性较差，评审为</w:t>
                  </w:r>
                  <w:r>
                    <w:rPr>
                      <w:rFonts w:hint="eastAsia" w:ascii="Times New Roman" w:hAnsi="Times New Roman" w:eastAsia="宋体" w:cs="宋体"/>
                      <w:color w:val="auto"/>
                      <w:kern w:val="0"/>
                      <w:szCs w:val="21"/>
                      <w:highlight w:val="none"/>
                      <w:lang w:val="en-US" w:eastAsia="zh-CN"/>
                    </w:rPr>
                    <w:t>差，</w:t>
                  </w:r>
                  <w:r>
                    <w:rPr>
                      <w:rFonts w:hint="eastAsia" w:ascii="Times New Roman" w:hAnsi="Times New Roman" w:eastAsia="宋体" w:cs="宋体"/>
                      <w:color w:val="auto"/>
                      <w:kern w:val="0"/>
                      <w:szCs w:val="21"/>
                      <w:highlight w:val="none"/>
                    </w:rPr>
                    <w:t>加</w:t>
                  </w:r>
                  <w:r>
                    <w:rPr>
                      <w:rFonts w:hint="eastAsia" w:ascii="Times New Roman" w:hAnsi="Times New Roman" w:eastAsia="宋体" w:cs="宋体"/>
                      <w:color w:val="auto"/>
                      <w:kern w:val="0"/>
                      <w:szCs w:val="21"/>
                      <w:highlight w:val="none"/>
                      <w:lang w:val="en-US" w:eastAsia="zh-CN"/>
                    </w:rPr>
                    <w:t>0</w:t>
                  </w:r>
                  <w:r>
                    <w:rPr>
                      <w:rFonts w:hint="eastAsia" w:ascii="Times New Roman" w:hAnsi="Times New Roman" w:eastAsia="宋体" w:cs="宋体"/>
                      <w:color w:val="auto"/>
                      <w:kern w:val="0"/>
                      <w:szCs w:val="21"/>
                      <w:highlight w:val="none"/>
                    </w:rPr>
                    <w:t>分。如果评审为差，要求专家书面说明理由，并记录在档。</w:t>
                  </w:r>
                </w:p>
              </w:tc>
            </w:tr>
            <w:tr w14:paraId="7218CA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vMerge w:val="continue"/>
                  <w:tcBorders>
                    <w:tl2br w:val="nil"/>
                    <w:tr2bl w:val="nil"/>
                  </w:tcBorders>
                  <w:vAlign w:val="center"/>
                </w:tcPr>
                <w:p w14:paraId="2E126CC7">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p>
              </w:tc>
              <w:tc>
                <w:tcPr>
                  <w:tcW w:w="275" w:type="pct"/>
                  <w:tcBorders>
                    <w:tl2br w:val="nil"/>
                    <w:tr2bl w:val="nil"/>
                  </w:tcBorders>
                  <w:shd w:val="clear" w:color="auto" w:fill="auto"/>
                  <w:vAlign w:val="center"/>
                </w:tcPr>
                <w:p w14:paraId="220FA8E1">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4</w:t>
                  </w:r>
                </w:p>
              </w:tc>
              <w:tc>
                <w:tcPr>
                  <w:tcW w:w="435" w:type="pct"/>
                  <w:tcBorders>
                    <w:tl2br w:val="nil"/>
                    <w:tr2bl w:val="nil"/>
                  </w:tcBorders>
                  <w:shd w:val="clear" w:color="auto" w:fill="auto"/>
                  <w:vAlign w:val="center"/>
                </w:tcPr>
                <w:p w14:paraId="5072E161">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项目完成（服务期满）后的服务承诺</w:t>
                  </w:r>
                </w:p>
              </w:tc>
              <w:tc>
                <w:tcPr>
                  <w:tcW w:w="292" w:type="pct"/>
                  <w:tcBorders>
                    <w:tl2br w:val="nil"/>
                    <w:tr2bl w:val="nil"/>
                  </w:tcBorders>
                  <w:shd w:val="clear" w:color="auto" w:fill="auto"/>
                  <w:vAlign w:val="center"/>
                </w:tcPr>
                <w:p w14:paraId="60D5D0AC">
                  <w:pPr>
                    <w:keepNext w:val="0"/>
                    <w:keepLines w:val="0"/>
                    <w:pageBreakBefore w:val="0"/>
                    <w:widowControl/>
                    <w:kinsoku/>
                    <w:wordWrap/>
                    <w:overflowPunct/>
                    <w:topLinePunct w:val="0"/>
                    <w:bidi w:val="0"/>
                    <w:adjustRightInd/>
                    <w:snapToGrid/>
                    <w:ind w:left="0" w:leftChars="0"/>
                    <w:jc w:val="center"/>
                    <w:textAlignment w:val="auto"/>
                    <w:rPr>
                      <w:rFonts w:hint="eastAsia" w:ascii="Times New Roman" w:hAnsi="Times New Roman" w:eastAsia="宋体" w:cs="宋体"/>
                      <w:color w:val="auto"/>
                      <w:kern w:val="0"/>
                      <w:szCs w:val="21"/>
                      <w:highlight w:val="none"/>
                      <w:lang w:eastAsia="zh-CN"/>
                    </w:rPr>
                  </w:pPr>
                  <w:r>
                    <w:rPr>
                      <w:rFonts w:hint="eastAsia" w:ascii="Times New Roman" w:hAnsi="Times New Roman" w:eastAsia="宋体" w:cs="宋体"/>
                      <w:color w:val="auto"/>
                      <w:kern w:val="0"/>
                      <w:szCs w:val="21"/>
                      <w:highlight w:val="none"/>
                      <w:lang w:val="en-US" w:eastAsia="zh-CN"/>
                    </w:rPr>
                    <w:t>2</w:t>
                  </w:r>
                </w:p>
              </w:tc>
              <w:tc>
                <w:tcPr>
                  <w:tcW w:w="3721" w:type="pct"/>
                  <w:tcBorders>
                    <w:tl2br w:val="nil"/>
                    <w:tr2bl w:val="nil"/>
                  </w:tcBorders>
                  <w:shd w:val="clear" w:color="auto" w:fill="auto"/>
                  <w:vAlign w:val="top"/>
                </w:tcPr>
                <w:p w14:paraId="49972752">
                  <w:pPr>
                    <w:keepNext w:val="0"/>
                    <w:keepLines w:val="0"/>
                    <w:pageBreakBefore w:val="0"/>
                    <w:widowControl/>
                    <w:numPr>
                      <w:ilvl w:val="0"/>
                      <w:numId w:val="0"/>
                    </w:numPr>
                    <w:kinsoku/>
                    <w:wordWrap/>
                    <w:overflowPunct/>
                    <w:topLinePunct w:val="0"/>
                    <w:bidi w:val="0"/>
                    <w:adjustRightInd/>
                    <w:snapToGrid/>
                    <w:jc w:val="both"/>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一、</w:t>
                  </w:r>
                  <w:r>
                    <w:rPr>
                      <w:rFonts w:hint="eastAsia" w:ascii="Times New Roman" w:hAnsi="Times New Roman" w:eastAsia="宋体" w:cs="宋体"/>
                      <w:color w:val="auto"/>
                      <w:kern w:val="0"/>
                      <w:szCs w:val="21"/>
                      <w:highlight w:val="none"/>
                    </w:rPr>
                    <w:t>评分内容</w:t>
                  </w:r>
                </w:p>
                <w:p w14:paraId="551FF61C">
                  <w:pPr>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投标人承诺以下全部</w:t>
                  </w:r>
                  <w:r>
                    <w:rPr>
                      <w:rFonts w:hint="eastAsia" w:ascii="Times New Roman" w:hAnsi="Times New Roman" w:eastAsia="宋体" w:cs="宋体"/>
                      <w:color w:val="auto"/>
                      <w:sz w:val="21"/>
                      <w:szCs w:val="21"/>
                      <w:highlight w:val="none"/>
                      <w:lang w:val="en-US" w:eastAsia="zh-CN"/>
                    </w:rPr>
                    <w:t>两</w:t>
                  </w:r>
                  <w:r>
                    <w:rPr>
                      <w:rFonts w:hint="eastAsia" w:ascii="Times New Roman" w:hAnsi="Times New Roman" w:eastAsia="宋体" w:cs="宋体"/>
                      <w:color w:val="auto"/>
                      <w:sz w:val="21"/>
                      <w:szCs w:val="21"/>
                      <w:highlight w:val="none"/>
                    </w:rPr>
                    <w:t>项的得</w:t>
                  </w:r>
                  <w:r>
                    <w:rPr>
                      <w:rFonts w:hint="eastAsia" w:ascii="Times New Roman" w:hAnsi="Times New Roman" w:eastAsia="宋体" w:cs="宋体"/>
                      <w:color w:val="auto"/>
                      <w:sz w:val="21"/>
                      <w:szCs w:val="21"/>
                      <w:highlight w:val="none"/>
                      <w:lang w:val="en-US" w:eastAsia="zh-CN"/>
                    </w:rPr>
                    <w:t>2</w:t>
                  </w:r>
                  <w:r>
                    <w:rPr>
                      <w:rFonts w:hint="eastAsia" w:ascii="Times New Roman" w:hAnsi="Times New Roman" w:eastAsia="宋体" w:cs="宋体"/>
                      <w:color w:val="auto"/>
                      <w:sz w:val="21"/>
                      <w:szCs w:val="21"/>
                      <w:highlight w:val="none"/>
                    </w:rPr>
                    <w:t>分，否则不得分。</w:t>
                  </w:r>
                </w:p>
                <w:p w14:paraId="2968C90A">
                  <w:pPr>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sz w:val="21"/>
                      <w:szCs w:val="21"/>
                      <w:highlight w:val="none"/>
                      <w:lang w:val="en-US" w:eastAsia="zh-CN"/>
                    </w:rPr>
                    <w:t>1.</w:t>
                  </w:r>
                  <w:r>
                    <w:rPr>
                      <w:rFonts w:hint="eastAsia" w:ascii="Times New Roman" w:hAnsi="Times New Roman" w:eastAsia="宋体" w:cs="宋体"/>
                      <w:color w:val="auto"/>
                      <w:sz w:val="21"/>
                      <w:szCs w:val="21"/>
                      <w:highlight w:val="none"/>
                    </w:rPr>
                    <w:t>承诺服务期满后如发现问题仍配合解释和处理</w:t>
                  </w:r>
                  <w:r>
                    <w:rPr>
                      <w:rFonts w:hint="eastAsia" w:ascii="Times New Roman" w:hAnsi="Times New Roman" w:eastAsia="宋体" w:cs="宋体"/>
                      <w:color w:val="auto"/>
                      <w:sz w:val="21"/>
                      <w:szCs w:val="21"/>
                      <w:highlight w:val="none"/>
                      <w:lang w:eastAsia="zh-CN"/>
                    </w:rPr>
                    <w:t>。</w:t>
                  </w:r>
                </w:p>
                <w:p w14:paraId="74ADD790">
                  <w:pPr>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2.</w:t>
                  </w:r>
                  <w:r>
                    <w:rPr>
                      <w:rFonts w:hint="eastAsia" w:ascii="Times New Roman" w:hAnsi="Times New Roman" w:eastAsia="宋体" w:cs="宋体"/>
                      <w:color w:val="auto"/>
                      <w:sz w:val="21"/>
                      <w:szCs w:val="21"/>
                      <w:highlight w:val="none"/>
                    </w:rPr>
                    <w:t>承诺服务期满后</w:t>
                  </w:r>
                  <w:r>
                    <w:rPr>
                      <w:rFonts w:hint="eastAsia" w:ascii="Times New Roman" w:hAnsi="Times New Roman" w:eastAsia="宋体" w:cs="宋体"/>
                      <w:color w:val="auto"/>
                      <w:sz w:val="21"/>
                      <w:szCs w:val="21"/>
                      <w:highlight w:val="none"/>
                      <w:lang w:val="en-US" w:eastAsia="zh-CN"/>
                    </w:rPr>
                    <w:t>一年内</w:t>
                  </w:r>
                  <w:r>
                    <w:rPr>
                      <w:rFonts w:hint="eastAsia" w:ascii="Times New Roman" w:hAnsi="Times New Roman" w:eastAsia="宋体" w:cs="宋体"/>
                      <w:color w:val="auto"/>
                      <w:sz w:val="21"/>
                      <w:szCs w:val="21"/>
                      <w:highlight w:val="none"/>
                    </w:rPr>
                    <w:t>继续提供</w:t>
                  </w:r>
                  <w:r>
                    <w:rPr>
                      <w:rFonts w:hint="eastAsia" w:ascii="Times New Roman" w:hAnsi="Times New Roman" w:eastAsia="宋体" w:cs="宋体"/>
                      <w:color w:val="auto"/>
                      <w:sz w:val="21"/>
                      <w:szCs w:val="21"/>
                      <w:highlight w:val="none"/>
                      <w:lang w:val="en-US" w:eastAsia="zh-CN"/>
                    </w:rPr>
                    <w:t>密码应用安全和等级保护方面的技术咨询。</w:t>
                  </w:r>
                </w:p>
                <w:p w14:paraId="75C72045">
                  <w:pPr>
                    <w:keepNext w:val="0"/>
                    <w:keepLines w:val="0"/>
                    <w:pageBreakBefore w:val="0"/>
                    <w:widowControl/>
                    <w:numPr>
                      <w:ilvl w:val="0"/>
                      <w:numId w:val="0"/>
                    </w:numPr>
                    <w:kinsoku/>
                    <w:wordWrap/>
                    <w:overflowPunct/>
                    <w:topLinePunct w:val="0"/>
                    <w:bidi w:val="0"/>
                    <w:adjustRightInd/>
                    <w:snapToGrid/>
                    <w:jc w:val="both"/>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kern w:val="0"/>
                      <w:szCs w:val="21"/>
                      <w:highlight w:val="none"/>
                      <w:lang w:val="en-US" w:eastAsia="zh-CN"/>
                    </w:rPr>
                    <w:t>二、</w:t>
                  </w:r>
                  <w:r>
                    <w:rPr>
                      <w:rFonts w:hint="eastAsia" w:ascii="Times New Roman" w:hAnsi="Times New Roman" w:eastAsia="宋体" w:cs="宋体"/>
                      <w:color w:val="auto"/>
                      <w:kern w:val="0"/>
                      <w:szCs w:val="21"/>
                      <w:highlight w:val="none"/>
                    </w:rPr>
                    <w:t>评分</w:t>
                  </w:r>
                  <w:r>
                    <w:rPr>
                      <w:rFonts w:hint="eastAsia" w:ascii="Times New Roman" w:hAnsi="Times New Roman" w:eastAsia="宋体" w:cs="宋体"/>
                      <w:color w:val="auto"/>
                      <w:kern w:val="0"/>
                      <w:szCs w:val="21"/>
                      <w:highlight w:val="none"/>
                      <w:lang w:val="en-US" w:eastAsia="zh-CN"/>
                    </w:rPr>
                    <w:t>依据</w:t>
                  </w:r>
                </w:p>
                <w:p w14:paraId="6A26AA27">
                  <w:pPr>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rPr>
                    <w:t>要求提供承诺（格式自定）作为得分依据，未提供承诺或承诺内容不满足要求不得分。</w:t>
                  </w:r>
                </w:p>
              </w:tc>
            </w:tr>
            <w:tr w14:paraId="782588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vMerge w:val="continue"/>
                  <w:tcBorders>
                    <w:tl2br w:val="nil"/>
                    <w:tr2bl w:val="nil"/>
                  </w:tcBorders>
                  <w:vAlign w:val="center"/>
                </w:tcPr>
                <w:p w14:paraId="1B8D434D">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p>
              </w:tc>
              <w:tc>
                <w:tcPr>
                  <w:tcW w:w="275" w:type="pct"/>
                  <w:tcBorders>
                    <w:tl2br w:val="nil"/>
                    <w:tr2bl w:val="nil"/>
                  </w:tcBorders>
                  <w:shd w:val="clear" w:color="auto" w:fill="auto"/>
                  <w:vAlign w:val="center"/>
                </w:tcPr>
                <w:p w14:paraId="2BA22F13">
                  <w:pPr>
                    <w:keepNext w:val="0"/>
                    <w:keepLines w:val="0"/>
                    <w:pageBreakBefore w:val="0"/>
                    <w:widowControl/>
                    <w:kinsoku/>
                    <w:wordWrap/>
                    <w:overflowPunct/>
                    <w:topLinePunct w:val="0"/>
                    <w:bidi w:val="0"/>
                    <w:adjustRightInd/>
                    <w:snapToGrid/>
                    <w:ind w:left="0" w:leftChars="0"/>
                    <w:jc w:val="center"/>
                    <w:textAlignment w:val="auto"/>
                    <w:rPr>
                      <w:rFonts w:hint="eastAsia" w:ascii="Times New Roman" w:hAnsi="Times New Roman" w:eastAsia="宋体" w:cs="宋体"/>
                      <w:color w:val="auto"/>
                      <w:kern w:val="0"/>
                      <w:sz w:val="21"/>
                      <w:szCs w:val="21"/>
                      <w:highlight w:val="none"/>
                      <w:lang w:val="en-US" w:eastAsia="zh-CN" w:bidi="ar-SA"/>
                    </w:rPr>
                  </w:pPr>
                  <w:r>
                    <w:rPr>
                      <w:rFonts w:hint="eastAsia" w:ascii="Times New Roman" w:hAnsi="Times New Roman" w:eastAsia="宋体" w:cs="宋体"/>
                      <w:color w:val="auto"/>
                      <w:kern w:val="0"/>
                      <w:szCs w:val="21"/>
                      <w:highlight w:val="none"/>
                    </w:rPr>
                    <w:t>5</w:t>
                  </w:r>
                </w:p>
              </w:tc>
              <w:tc>
                <w:tcPr>
                  <w:tcW w:w="435" w:type="pct"/>
                  <w:tcBorders>
                    <w:tl2br w:val="nil"/>
                    <w:tr2bl w:val="nil"/>
                  </w:tcBorders>
                  <w:shd w:val="clear" w:color="auto" w:fill="auto"/>
                  <w:vAlign w:val="center"/>
                </w:tcPr>
                <w:p w14:paraId="5B35A13A">
                  <w:pPr>
                    <w:keepNext w:val="0"/>
                    <w:keepLines w:val="0"/>
                    <w:pageBreakBefore w:val="0"/>
                    <w:widowControl/>
                    <w:kinsoku/>
                    <w:wordWrap/>
                    <w:overflowPunct/>
                    <w:topLinePunct w:val="0"/>
                    <w:bidi w:val="0"/>
                    <w:adjustRightInd/>
                    <w:snapToGrid/>
                    <w:ind w:left="0" w:leftChars="0"/>
                    <w:jc w:val="left"/>
                    <w:textAlignment w:val="auto"/>
                    <w:rPr>
                      <w:rFonts w:hint="eastAsia" w:ascii="Times New Roman" w:hAnsi="Times New Roman" w:eastAsia="宋体" w:cs="宋体"/>
                      <w:color w:val="auto"/>
                      <w:kern w:val="0"/>
                      <w:sz w:val="21"/>
                      <w:szCs w:val="21"/>
                      <w:highlight w:val="none"/>
                      <w:lang w:val="en-US" w:eastAsia="zh-CN" w:bidi="ar-SA"/>
                    </w:rPr>
                  </w:pPr>
                  <w:r>
                    <w:rPr>
                      <w:rFonts w:hint="eastAsia" w:ascii="Times New Roman" w:hAnsi="Times New Roman" w:eastAsia="宋体" w:cs="宋体"/>
                      <w:color w:val="auto"/>
                      <w:kern w:val="0"/>
                      <w:szCs w:val="21"/>
                      <w:highlight w:val="none"/>
                    </w:rPr>
                    <w:t>违约承诺</w:t>
                  </w:r>
                </w:p>
              </w:tc>
              <w:tc>
                <w:tcPr>
                  <w:tcW w:w="292" w:type="pct"/>
                  <w:tcBorders>
                    <w:tl2br w:val="nil"/>
                    <w:tr2bl w:val="nil"/>
                  </w:tcBorders>
                  <w:shd w:val="clear" w:color="auto" w:fill="auto"/>
                  <w:vAlign w:val="center"/>
                </w:tcPr>
                <w:p w14:paraId="3047DDDD">
                  <w:pPr>
                    <w:keepNext w:val="0"/>
                    <w:keepLines w:val="0"/>
                    <w:pageBreakBefore w:val="0"/>
                    <w:widowControl/>
                    <w:kinsoku/>
                    <w:wordWrap/>
                    <w:overflowPunct/>
                    <w:topLinePunct w:val="0"/>
                    <w:bidi w:val="0"/>
                    <w:adjustRightInd/>
                    <w:snapToGrid/>
                    <w:ind w:left="0" w:leftChars="0"/>
                    <w:jc w:val="center"/>
                    <w:textAlignment w:val="auto"/>
                    <w:rPr>
                      <w:rFonts w:hint="eastAsia" w:ascii="Times New Roman" w:hAnsi="Times New Roman" w:eastAsia="宋体" w:cs="宋体"/>
                      <w:color w:val="auto"/>
                      <w:kern w:val="0"/>
                      <w:sz w:val="21"/>
                      <w:szCs w:val="21"/>
                      <w:highlight w:val="none"/>
                      <w:lang w:val="en-US" w:eastAsia="zh-CN" w:bidi="ar-SA"/>
                    </w:rPr>
                  </w:pPr>
                  <w:r>
                    <w:rPr>
                      <w:rFonts w:hint="eastAsia" w:ascii="Times New Roman" w:hAnsi="Times New Roman" w:eastAsia="宋体" w:cs="宋体"/>
                      <w:color w:val="auto"/>
                      <w:kern w:val="0"/>
                      <w:szCs w:val="21"/>
                      <w:highlight w:val="none"/>
                      <w:lang w:val="en-US" w:eastAsia="zh-CN"/>
                    </w:rPr>
                    <w:t>2</w:t>
                  </w:r>
                </w:p>
              </w:tc>
              <w:tc>
                <w:tcPr>
                  <w:tcW w:w="3721" w:type="pct"/>
                  <w:tcBorders>
                    <w:tl2br w:val="nil"/>
                    <w:tr2bl w:val="nil"/>
                  </w:tcBorders>
                  <w:shd w:val="clear" w:color="auto" w:fill="auto"/>
                  <w:vAlign w:val="top"/>
                </w:tcPr>
                <w:p w14:paraId="6ED622B9">
                  <w:pPr>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kern w:val="0"/>
                      <w:szCs w:val="21"/>
                      <w:highlight w:val="none"/>
                      <w:lang w:val="en-US" w:eastAsia="zh-CN"/>
                    </w:rPr>
                    <w:t>一、</w:t>
                  </w:r>
                  <w:r>
                    <w:rPr>
                      <w:rFonts w:hint="eastAsia" w:ascii="Times New Roman" w:hAnsi="Times New Roman" w:eastAsia="宋体" w:cs="宋体"/>
                      <w:color w:val="auto"/>
                      <w:sz w:val="21"/>
                      <w:szCs w:val="21"/>
                      <w:highlight w:val="none"/>
                      <w:lang w:val="en-US" w:eastAsia="zh-CN"/>
                    </w:rPr>
                    <w:t>评分内容</w:t>
                  </w:r>
                </w:p>
                <w:p w14:paraId="7ADABEA7">
                  <w:pPr>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1.投标人对采购人提出人员配置</w:t>
                  </w:r>
                  <w:r>
                    <w:rPr>
                      <w:rFonts w:hint="eastAsia" w:ascii="Times New Roman" w:hAnsi="Times New Roman" w:eastAsia="宋体" w:cs="宋体"/>
                      <w:color w:val="auto"/>
                      <w:sz w:val="21"/>
                      <w:szCs w:val="21"/>
                      <w:highlight w:val="none"/>
                    </w:rPr>
                    <w:t>要求</w:t>
                  </w:r>
                  <w:r>
                    <w:rPr>
                      <w:rFonts w:hint="eastAsia" w:ascii="Times New Roman" w:hAnsi="Times New Roman" w:eastAsia="宋体" w:cs="宋体"/>
                      <w:color w:val="auto"/>
                      <w:sz w:val="21"/>
                      <w:szCs w:val="21"/>
                      <w:highlight w:val="none"/>
                      <w:lang w:val="en-US" w:eastAsia="zh-CN"/>
                    </w:rPr>
                    <w:t>、人员管理</w:t>
                  </w:r>
                  <w:r>
                    <w:rPr>
                      <w:rFonts w:hint="eastAsia" w:ascii="Times New Roman" w:hAnsi="Times New Roman" w:eastAsia="宋体" w:cs="宋体"/>
                      <w:color w:val="auto"/>
                      <w:sz w:val="21"/>
                      <w:szCs w:val="21"/>
                      <w:highlight w:val="none"/>
                    </w:rPr>
                    <w:t>要求</w:t>
                  </w:r>
                  <w:r>
                    <w:rPr>
                      <w:rFonts w:hint="eastAsia" w:ascii="Times New Roman" w:hAnsi="Times New Roman" w:eastAsia="宋体" w:cs="宋体"/>
                      <w:color w:val="auto"/>
                      <w:sz w:val="21"/>
                      <w:szCs w:val="21"/>
                      <w:highlight w:val="none"/>
                      <w:lang w:val="en-US" w:eastAsia="zh-CN"/>
                    </w:rPr>
                    <w:t>、人员能力</w:t>
                  </w:r>
                  <w:r>
                    <w:rPr>
                      <w:rFonts w:hint="eastAsia" w:ascii="Times New Roman" w:hAnsi="Times New Roman" w:eastAsia="宋体" w:cs="宋体"/>
                      <w:color w:val="auto"/>
                      <w:sz w:val="21"/>
                      <w:szCs w:val="21"/>
                      <w:highlight w:val="none"/>
                    </w:rPr>
                    <w:t>要求</w:t>
                  </w:r>
                  <w:r>
                    <w:rPr>
                      <w:rFonts w:hint="eastAsia" w:ascii="Times New Roman" w:hAnsi="Times New Roman" w:eastAsia="宋体" w:cs="宋体"/>
                      <w:color w:val="auto"/>
                      <w:sz w:val="21"/>
                      <w:szCs w:val="21"/>
                      <w:highlight w:val="none"/>
                      <w:lang w:val="en-US" w:eastAsia="zh-CN"/>
                    </w:rPr>
                    <w:t>、人员变更</w:t>
                  </w:r>
                  <w:r>
                    <w:rPr>
                      <w:rFonts w:hint="eastAsia" w:ascii="Times New Roman" w:hAnsi="Times New Roman" w:eastAsia="宋体" w:cs="宋体"/>
                      <w:color w:val="auto"/>
                      <w:sz w:val="21"/>
                      <w:szCs w:val="21"/>
                      <w:highlight w:val="none"/>
                    </w:rPr>
                    <w:t>要求</w:t>
                  </w:r>
                  <w:r>
                    <w:rPr>
                      <w:rFonts w:hint="eastAsia" w:ascii="Times New Roman" w:hAnsi="Times New Roman" w:eastAsia="宋体" w:cs="宋体"/>
                      <w:color w:val="auto"/>
                      <w:sz w:val="21"/>
                      <w:szCs w:val="21"/>
                      <w:highlight w:val="none"/>
                      <w:lang w:val="en-US" w:eastAsia="zh-CN"/>
                    </w:rPr>
                    <w:t>、人员保障</w:t>
                  </w:r>
                  <w:r>
                    <w:rPr>
                      <w:rFonts w:hint="eastAsia" w:ascii="Times New Roman" w:hAnsi="Times New Roman" w:eastAsia="宋体" w:cs="宋体"/>
                      <w:color w:val="auto"/>
                      <w:sz w:val="21"/>
                      <w:szCs w:val="21"/>
                      <w:highlight w:val="none"/>
                    </w:rPr>
                    <w:t>要求</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项目</w:t>
                  </w:r>
                  <w:r>
                    <w:rPr>
                      <w:rFonts w:hint="eastAsia" w:ascii="Times New Roman" w:hAnsi="Times New Roman" w:eastAsia="宋体" w:cs="宋体"/>
                      <w:color w:val="auto"/>
                      <w:sz w:val="21"/>
                      <w:szCs w:val="21"/>
                      <w:highlight w:val="none"/>
                    </w:rPr>
                    <w:t>验收要求</w:t>
                  </w:r>
                  <w:r>
                    <w:rPr>
                      <w:rFonts w:hint="eastAsia" w:ascii="Times New Roman" w:hAnsi="Times New Roman" w:eastAsia="宋体" w:cs="宋体"/>
                      <w:color w:val="auto"/>
                      <w:sz w:val="21"/>
                      <w:szCs w:val="21"/>
                      <w:highlight w:val="none"/>
                      <w:lang w:val="en-US" w:eastAsia="zh-CN"/>
                    </w:rPr>
                    <w:t>以及违约责任等内容作出全面违约承诺。</w:t>
                  </w:r>
                </w:p>
                <w:p w14:paraId="091EF9B8">
                  <w:pPr>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2.违约承诺包括具体的违约条款和违约责任，具备可行性。</w:t>
                  </w:r>
                </w:p>
                <w:p w14:paraId="6C9CD84B">
                  <w:pPr>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kern w:val="0"/>
                      <w:szCs w:val="21"/>
                      <w:highlight w:val="none"/>
                      <w:lang w:val="en-US" w:eastAsia="zh-CN"/>
                    </w:rPr>
                    <w:t>二、</w:t>
                  </w:r>
                  <w:r>
                    <w:rPr>
                      <w:rFonts w:hint="eastAsia" w:ascii="Times New Roman" w:hAnsi="Times New Roman" w:eastAsia="宋体" w:cs="宋体"/>
                      <w:color w:val="auto"/>
                      <w:sz w:val="21"/>
                      <w:szCs w:val="21"/>
                      <w:highlight w:val="none"/>
                      <w:lang w:val="en-US" w:eastAsia="zh-CN"/>
                    </w:rPr>
                    <w:t>评分依据</w:t>
                  </w:r>
                </w:p>
                <w:p w14:paraId="207625D3">
                  <w:pPr>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投标人提供承诺书（格式自定）作为得分依据，满足以上两项要求的得2分，满足一项标准的得1分，未提供承诺或承诺内容不满足要求不得分。</w:t>
                  </w:r>
                </w:p>
              </w:tc>
            </w:tr>
            <w:tr w14:paraId="53B896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vMerge w:val="continue"/>
                  <w:tcBorders>
                    <w:tl2br w:val="nil"/>
                    <w:tr2bl w:val="nil"/>
                  </w:tcBorders>
                  <w:vAlign w:val="center"/>
                </w:tcPr>
                <w:p w14:paraId="343E37AF">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p>
              </w:tc>
              <w:tc>
                <w:tcPr>
                  <w:tcW w:w="275" w:type="pct"/>
                  <w:tcBorders>
                    <w:tl2br w:val="nil"/>
                    <w:tr2bl w:val="nil"/>
                  </w:tcBorders>
                  <w:shd w:val="clear" w:color="auto" w:fill="auto"/>
                  <w:vAlign w:val="center"/>
                </w:tcPr>
                <w:p w14:paraId="2C5F78D6">
                  <w:pPr>
                    <w:keepNext w:val="0"/>
                    <w:keepLines w:val="0"/>
                    <w:pageBreakBefore w:val="0"/>
                    <w:widowControl/>
                    <w:kinsoku/>
                    <w:wordWrap/>
                    <w:overflowPunct/>
                    <w:topLinePunct w:val="0"/>
                    <w:bidi w:val="0"/>
                    <w:adjustRightInd/>
                    <w:snapToGrid/>
                    <w:ind w:left="0" w:leftChars="0"/>
                    <w:jc w:val="center"/>
                    <w:textAlignment w:val="auto"/>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6</w:t>
                  </w:r>
                </w:p>
              </w:tc>
              <w:tc>
                <w:tcPr>
                  <w:tcW w:w="435" w:type="pct"/>
                  <w:tcBorders>
                    <w:tl2br w:val="nil"/>
                    <w:tr2bl w:val="nil"/>
                  </w:tcBorders>
                  <w:shd w:val="clear" w:color="auto" w:fill="auto"/>
                  <w:vAlign w:val="center"/>
                </w:tcPr>
                <w:p w14:paraId="468BD7E2">
                  <w:pPr>
                    <w:keepNext w:val="0"/>
                    <w:keepLines w:val="0"/>
                    <w:pageBreakBefore w:val="0"/>
                    <w:widowControl/>
                    <w:kinsoku/>
                    <w:wordWrap/>
                    <w:overflowPunct/>
                    <w:topLinePunct w:val="0"/>
                    <w:bidi w:val="0"/>
                    <w:adjustRightInd/>
                    <w:snapToGrid/>
                    <w:ind w:left="0" w:leftChars="0"/>
                    <w:jc w:val="center"/>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拟安排的项目负责人情况（</w:t>
                  </w:r>
                  <w:r>
                    <w:rPr>
                      <w:rFonts w:hint="eastAsia" w:ascii="Times New Roman" w:hAnsi="Times New Roman" w:eastAsia="宋体" w:cs="宋体"/>
                      <w:b/>
                      <w:bCs/>
                      <w:color w:val="auto"/>
                      <w:kern w:val="0"/>
                      <w:szCs w:val="21"/>
                      <w:highlight w:val="none"/>
                    </w:rPr>
                    <w:t>仅限一人</w:t>
                  </w:r>
                  <w:r>
                    <w:rPr>
                      <w:rFonts w:hint="eastAsia" w:ascii="Times New Roman" w:hAnsi="Times New Roman" w:eastAsia="宋体" w:cs="宋体"/>
                      <w:color w:val="auto"/>
                      <w:kern w:val="0"/>
                      <w:szCs w:val="21"/>
                      <w:highlight w:val="none"/>
                    </w:rPr>
                    <w:t>）</w:t>
                  </w:r>
                </w:p>
              </w:tc>
              <w:tc>
                <w:tcPr>
                  <w:tcW w:w="292" w:type="pct"/>
                  <w:tcBorders>
                    <w:tl2br w:val="nil"/>
                    <w:tr2bl w:val="nil"/>
                  </w:tcBorders>
                  <w:shd w:val="clear" w:color="auto" w:fill="auto"/>
                  <w:vAlign w:val="center"/>
                </w:tcPr>
                <w:p w14:paraId="6521CCFF">
                  <w:pPr>
                    <w:keepNext w:val="0"/>
                    <w:keepLines w:val="0"/>
                    <w:pageBreakBefore w:val="0"/>
                    <w:widowControl/>
                    <w:kinsoku/>
                    <w:wordWrap/>
                    <w:overflowPunct/>
                    <w:topLinePunct w:val="0"/>
                    <w:bidi w:val="0"/>
                    <w:adjustRightInd/>
                    <w:snapToGrid/>
                    <w:ind w:left="0" w:leftChars="0"/>
                    <w:jc w:val="center"/>
                    <w:textAlignment w:val="auto"/>
                    <w:rPr>
                      <w:rFonts w:hint="default"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8</w:t>
                  </w:r>
                </w:p>
              </w:tc>
              <w:tc>
                <w:tcPr>
                  <w:tcW w:w="3721" w:type="pct"/>
                  <w:tcBorders>
                    <w:tl2br w:val="nil"/>
                    <w:tr2bl w:val="nil"/>
                  </w:tcBorders>
                  <w:shd w:val="clear" w:color="auto" w:fill="auto"/>
                  <w:vAlign w:val="center"/>
                </w:tcPr>
                <w:p w14:paraId="3C7535BC">
                  <w:pPr>
                    <w:keepNext w:val="0"/>
                    <w:keepLines w:val="0"/>
                    <w:pageBreakBefore w:val="0"/>
                    <w:widowControl/>
                    <w:numPr>
                      <w:ilvl w:val="0"/>
                      <w:numId w:val="0"/>
                    </w:numPr>
                    <w:kinsoku/>
                    <w:wordWrap/>
                    <w:overflowPunct/>
                    <w:topLinePunct w:val="0"/>
                    <w:bidi w:val="0"/>
                    <w:adjustRightInd/>
                    <w:snapToGrid/>
                    <w:jc w:val="both"/>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一、</w:t>
                  </w:r>
                  <w:r>
                    <w:rPr>
                      <w:rFonts w:hint="eastAsia" w:ascii="Times New Roman" w:hAnsi="Times New Roman" w:eastAsia="宋体" w:cs="宋体"/>
                      <w:color w:val="auto"/>
                      <w:kern w:val="0"/>
                      <w:szCs w:val="21"/>
                      <w:highlight w:val="none"/>
                    </w:rPr>
                    <w:t>评分内容</w:t>
                  </w:r>
                </w:p>
                <w:p w14:paraId="7EE1A5C6">
                  <w:pPr>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eastAsia"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投标人拟安排的项目负责人必须为投标人自有员工，具有本科及以上学历且为计算机相关专业，否则此项不得分，在此基础上：</w:t>
                  </w:r>
                </w:p>
                <w:p w14:paraId="034A7B8F">
                  <w:pPr>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eastAsia"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1.</w:t>
                  </w:r>
                  <w:r>
                    <w:rPr>
                      <w:rFonts w:hint="eastAsia" w:ascii="Times New Roman" w:hAnsi="Times New Roman" w:eastAsia="宋体"/>
                      <w:color w:val="auto"/>
                      <w:sz w:val="21"/>
                      <w:szCs w:val="21"/>
                      <w:highlight w:val="none"/>
                    </w:rPr>
                    <w:t>具有</w:t>
                  </w:r>
                  <w:r>
                    <w:rPr>
                      <w:rFonts w:hint="eastAsia" w:ascii="Times New Roman" w:hAnsi="Times New Roman" w:eastAsia="宋体"/>
                      <w:color w:val="auto"/>
                      <w:sz w:val="21"/>
                      <w:szCs w:val="21"/>
                      <w:highlight w:val="none"/>
                      <w:lang w:val="en-US" w:eastAsia="zh-CN"/>
                    </w:rPr>
                    <w:t>公安部网络安全等级保护评估中心（信息安全等级保护评估中心）</w:t>
                  </w:r>
                  <w:r>
                    <w:rPr>
                      <w:rFonts w:hint="eastAsia" w:ascii="Times New Roman" w:hAnsi="Times New Roman" w:eastAsia="宋体"/>
                      <w:color w:val="auto"/>
                      <w:sz w:val="21"/>
                      <w:szCs w:val="21"/>
                      <w:highlight w:val="none"/>
                    </w:rPr>
                    <w:t>或中关村信息安全测评联盟颁发的信息安全（网络安全）等级测评师证书（高级）和国家密码管理局商用密码检测中心颁发的商用密码应用安全性评估人员考核合格证书，得</w:t>
                  </w:r>
                  <w:r>
                    <w:rPr>
                      <w:rFonts w:hint="eastAsia" w:ascii="Times New Roman" w:hAnsi="Times New Roman" w:eastAsia="宋体"/>
                      <w:color w:val="auto"/>
                      <w:sz w:val="21"/>
                      <w:szCs w:val="21"/>
                      <w:highlight w:val="none"/>
                      <w:lang w:val="en-US" w:eastAsia="zh-CN"/>
                    </w:rPr>
                    <w:t>2</w:t>
                  </w:r>
                  <w:r>
                    <w:rPr>
                      <w:rFonts w:hint="eastAsia" w:ascii="Times New Roman" w:hAnsi="Times New Roman" w:eastAsia="宋体"/>
                      <w:color w:val="auto"/>
                      <w:sz w:val="21"/>
                      <w:szCs w:val="21"/>
                      <w:highlight w:val="none"/>
                    </w:rPr>
                    <w:t>分；</w:t>
                  </w:r>
                </w:p>
                <w:p w14:paraId="04055D11">
                  <w:pPr>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eastAsia"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2.</w:t>
                  </w:r>
                  <w:r>
                    <w:rPr>
                      <w:rFonts w:hint="eastAsia" w:ascii="Times New Roman" w:hAnsi="Times New Roman" w:eastAsia="宋体"/>
                      <w:color w:val="auto"/>
                      <w:sz w:val="21"/>
                      <w:szCs w:val="21"/>
                      <w:highlight w:val="none"/>
                    </w:rPr>
                    <w:t>具有5年或以上从事商用密码应用安全性评估项目管理工作经验，得</w:t>
                  </w:r>
                  <w:r>
                    <w:rPr>
                      <w:rFonts w:hint="eastAsia" w:ascii="Times New Roman" w:hAnsi="Times New Roman" w:eastAsia="宋体"/>
                      <w:color w:val="auto"/>
                      <w:sz w:val="21"/>
                      <w:szCs w:val="21"/>
                      <w:highlight w:val="none"/>
                      <w:lang w:val="en-US" w:eastAsia="zh-CN"/>
                    </w:rPr>
                    <w:t>2</w:t>
                  </w:r>
                  <w:r>
                    <w:rPr>
                      <w:rFonts w:hint="eastAsia" w:ascii="Times New Roman" w:hAnsi="Times New Roman" w:eastAsia="宋体"/>
                      <w:color w:val="auto"/>
                      <w:sz w:val="21"/>
                      <w:szCs w:val="21"/>
                      <w:highlight w:val="none"/>
                    </w:rPr>
                    <w:t>分；</w:t>
                  </w:r>
                </w:p>
                <w:p w14:paraId="67D41FA1">
                  <w:pPr>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eastAsia"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3.</w:t>
                  </w:r>
                  <w:r>
                    <w:rPr>
                      <w:rFonts w:hint="eastAsia" w:ascii="Times New Roman" w:hAnsi="Times New Roman" w:eastAsia="宋体"/>
                      <w:color w:val="auto"/>
                      <w:sz w:val="21"/>
                      <w:szCs w:val="21"/>
                      <w:highlight w:val="none"/>
                    </w:rPr>
                    <w:t>具有</w:t>
                  </w:r>
                  <w:r>
                    <w:rPr>
                      <w:rFonts w:hint="eastAsia" w:ascii="Times New Roman" w:hAnsi="Times New Roman" w:eastAsia="宋体"/>
                      <w:color w:val="auto"/>
                      <w:sz w:val="21"/>
                      <w:szCs w:val="21"/>
                      <w:highlight w:val="none"/>
                      <w:lang w:val="en-US" w:eastAsia="zh-CN"/>
                    </w:rPr>
                    <w:t>中国</w:t>
                  </w:r>
                  <w:r>
                    <w:rPr>
                      <w:rFonts w:hint="eastAsia" w:ascii="Times New Roman" w:hAnsi="Times New Roman" w:eastAsia="宋体"/>
                      <w:color w:val="auto"/>
                      <w:sz w:val="21"/>
                      <w:szCs w:val="21"/>
                      <w:highlight w:val="none"/>
                    </w:rPr>
                    <w:t>信息安全测评中心颁发的注册网络安全专业防御人员（NSATP-D）证书，得</w:t>
                  </w:r>
                  <w:r>
                    <w:rPr>
                      <w:rFonts w:hint="eastAsia" w:ascii="Times New Roman" w:hAnsi="Times New Roman" w:eastAsia="宋体"/>
                      <w:color w:val="auto"/>
                      <w:sz w:val="21"/>
                      <w:szCs w:val="21"/>
                      <w:highlight w:val="none"/>
                      <w:lang w:val="en-US" w:eastAsia="zh-CN"/>
                    </w:rPr>
                    <w:t>2</w:t>
                  </w:r>
                  <w:r>
                    <w:rPr>
                      <w:rFonts w:hint="eastAsia" w:ascii="Times New Roman" w:hAnsi="Times New Roman" w:eastAsia="宋体"/>
                      <w:color w:val="auto"/>
                      <w:sz w:val="21"/>
                      <w:szCs w:val="21"/>
                      <w:highlight w:val="none"/>
                    </w:rPr>
                    <w:t>分；</w:t>
                  </w:r>
                </w:p>
                <w:p w14:paraId="2B0172C2">
                  <w:pPr>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eastAsia"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4.</w:t>
                  </w:r>
                  <w:r>
                    <w:rPr>
                      <w:rFonts w:hint="eastAsia" w:ascii="Times New Roman" w:hAnsi="Times New Roman" w:eastAsia="宋体"/>
                      <w:color w:val="auto"/>
                      <w:sz w:val="21"/>
                      <w:szCs w:val="21"/>
                      <w:highlight w:val="none"/>
                    </w:rPr>
                    <w:t>具有工业和信息化部教育与考试中心颁发的密码安全技术管理师（高级）证书，得</w:t>
                  </w:r>
                  <w:r>
                    <w:rPr>
                      <w:rFonts w:hint="eastAsia" w:ascii="Times New Roman" w:hAnsi="Times New Roman" w:eastAsia="宋体"/>
                      <w:color w:val="auto"/>
                      <w:sz w:val="21"/>
                      <w:szCs w:val="21"/>
                      <w:highlight w:val="none"/>
                      <w:lang w:val="en-US" w:eastAsia="zh-CN"/>
                    </w:rPr>
                    <w:t>2</w:t>
                  </w:r>
                  <w:r>
                    <w:rPr>
                      <w:rFonts w:hint="eastAsia" w:ascii="Times New Roman" w:hAnsi="Times New Roman" w:eastAsia="宋体"/>
                      <w:color w:val="auto"/>
                      <w:sz w:val="21"/>
                      <w:szCs w:val="21"/>
                      <w:highlight w:val="none"/>
                    </w:rPr>
                    <w:t>分。</w:t>
                  </w:r>
                </w:p>
                <w:p w14:paraId="1D6C7F40">
                  <w:pPr>
                    <w:keepNext w:val="0"/>
                    <w:keepLines w:val="0"/>
                    <w:pageBreakBefore w:val="0"/>
                    <w:widowControl/>
                    <w:kinsoku/>
                    <w:wordWrap/>
                    <w:overflowPunct/>
                    <w:topLinePunct w:val="0"/>
                    <w:bidi w:val="0"/>
                    <w:adjustRightInd/>
                    <w:snapToGrid/>
                    <w:ind w:left="0" w:leftChars="0"/>
                    <w:jc w:val="both"/>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二、</w:t>
                  </w:r>
                  <w:r>
                    <w:rPr>
                      <w:rFonts w:hint="eastAsia" w:ascii="Times New Roman" w:hAnsi="Times New Roman" w:eastAsia="宋体" w:cs="宋体"/>
                      <w:color w:val="auto"/>
                      <w:kern w:val="0"/>
                      <w:szCs w:val="21"/>
                      <w:highlight w:val="none"/>
                    </w:rPr>
                    <w:t>评分依据</w:t>
                  </w:r>
                </w:p>
                <w:p w14:paraId="033EF1EC">
                  <w:pPr>
                    <w:keepNext w:val="0"/>
                    <w:keepLines w:val="0"/>
                    <w:pageBreakBefore w:val="0"/>
                    <w:widowControl/>
                    <w:kinsoku/>
                    <w:wordWrap/>
                    <w:overflowPunct/>
                    <w:topLinePunct w:val="0"/>
                    <w:bidi w:val="0"/>
                    <w:adjustRightInd/>
                    <w:snapToGrid/>
                    <w:ind w:left="0" w:leftChars="0"/>
                    <w:jc w:val="both"/>
                    <w:textAlignment w:val="auto"/>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rPr>
                    <w:t>1</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rPr>
                    <w:t>要求提供有效证明资料作为得分依据。</w:t>
                  </w:r>
                  <w:r>
                    <w:rPr>
                      <w:rFonts w:hint="eastAsia" w:ascii="Times New Roman" w:hAnsi="Times New Roman" w:eastAsia="宋体" w:cs="宋体"/>
                      <w:color w:val="auto"/>
                      <w:kern w:val="0"/>
                      <w:szCs w:val="21"/>
                      <w:highlight w:val="none"/>
                      <w:lang w:val="en-US" w:eastAsia="zh-CN"/>
                    </w:rPr>
                    <w:t>涉及学历和认证证书的，要求提供人员相关毕业证书或学信网验证报告和认证证书扫描件；</w:t>
                  </w:r>
                  <w:r>
                    <w:rPr>
                      <w:rFonts w:hint="default" w:ascii="Times New Roman" w:hAnsi="Times New Roman" w:eastAsia="宋体" w:cs="宋体"/>
                      <w:color w:val="auto"/>
                      <w:kern w:val="0"/>
                      <w:szCs w:val="21"/>
                      <w:highlight w:val="none"/>
                      <w:lang w:val="en-US" w:eastAsia="zh-CN"/>
                    </w:rPr>
                    <w:t>涉及工作经验年限的，要求提供人员</w:t>
                  </w:r>
                  <w:r>
                    <w:rPr>
                      <w:rFonts w:hint="eastAsia" w:ascii="Times New Roman" w:hAnsi="Times New Roman" w:eastAsia="宋体" w:cs="宋体"/>
                      <w:color w:val="auto"/>
                      <w:kern w:val="0"/>
                      <w:szCs w:val="21"/>
                      <w:highlight w:val="none"/>
                      <w:lang w:val="en-US" w:eastAsia="zh-CN"/>
                    </w:rPr>
                    <w:t>毕业证书日期以及</w:t>
                  </w:r>
                  <w:r>
                    <w:rPr>
                      <w:rFonts w:hint="default" w:ascii="Times New Roman" w:hAnsi="Times New Roman" w:eastAsia="宋体" w:cs="宋体"/>
                      <w:color w:val="auto"/>
                      <w:kern w:val="0"/>
                      <w:szCs w:val="21"/>
                      <w:highlight w:val="none"/>
                      <w:lang w:val="en-US" w:eastAsia="zh-CN"/>
                    </w:rPr>
                    <w:t>参加工作后缴纳社保证明；</w:t>
                  </w:r>
                  <w:r>
                    <w:rPr>
                      <w:rFonts w:hint="eastAsia" w:ascii="Times New Roman" w:hAnsi="Times New Roman" w:eastAsia="宋体" w:cs="宋体"/>
                      <w:color w:val="auto"/>
                      <w:kern w:val="0"/>
                      <w:szCs w:val="21"/>
                      <w:highlight w:val="none"/>
                    </w:rPr>
                    <w:t>涉及项目经验的，要求提供人员负责过相关项目的有效证明文件，如项目合同或往来函件或验收材料或</w:t>
                  </w:r>
                  <w:r>
                    <w:rPr>
                      <w:rFonts w:hint="eastAsia" w:ascii="Times New Roman" w:hAnsi="Times New Roman" w:eastAsia="宋体" w:cs="宋体"/>
                      <w:color w:val="auto"/>
                      <w:kern w:val="0"/>
                      <w:szCs w:val="21"/>
                      <w:highlight w:val="none"/>
                      <w:lang w:eastAsia="zh-CN"/>
                    </w:rPr>
                    <w:t>采购人</w:t>
                  </w:r>
                  <w:r>
                    <w:rPr>
                      <w:rFonts w:hint="eastAsia" w:ascii="Times New Roman" w:hAnsi="Times New Roman" w:eastAsia="宋体" w:cs="宋体"/>
                      <w:color w:val="auto"/>
                      <w:kern w:val="0"/>
                      <w:szCs w:val="21"/>
                      <w:highlight w:val="none"/>
                    </w:rPr>
                    <w:t>证明等含有项目人员信息的有效证明文件作为得分依据。</w:t>
                  </w:r>
                </w:p>
                <w:p w14:paraId="06C7DD4E">
                  <w:pPr>
                    <w:keepNext w:val="0"/>
                    <w:keepLines w:val="0"/>
                    <w:pageBreakBefore w:val="0"/>
                    <w:widowControl/>
                    <w:kinsoku/>
                    <w:wordWrap/>
                    <w:overflowPunct/>
                    <w:topLinePunct w:val="0"/>
                    <w:bidi w:val="0"/>
                    <w:adjustRightInd/>
                    <w:snapToGrid/>
                    <w:ind w:left="0" w:leftChars="0"/>
                    <w:jc w:val="both"/>
                    <w:textAlignment w:val="auto"/>
                    <w:rPr>
                      <w:rFonts w:hint="eastAsia" w:ascii="Times New Roman" w:hAnsi="Times New Roman" w:eastAsia="宋体" w:cs="宋体"/>
                      <w:color w:val="auto"/>
                      <w:kern w:val="0"/>
                      <w:szCs w:val="21"/>
                      <w:highlight w:val="none"/>
                      <w:lang w:eastAsia="zh-CN"/>
                    </w:rPr>
                  </w:pPr>
                  <w:r>
                    <w:rPr>
                      <w:rFonts w:hint="eastAsia" w:ascii="Times New Roman" w:hAnsi="Times New Roman" w:eastAsia="宋体" w:cs="宋体"/>
                      <w:color w:val="auto"/>
                      <w:kern w:val="0"/>
                      <w:szCs w:val="21"/>
                      <w:highlight w:val="none"/>
                      <w:lang w:val="en-US" w:eastAsia="zh-CN"/>
                    </w:rPr>
                    <w:t>2、拟安排的项目</w:t>
                  </w:r>
                  <w:r>
                    <w:rPr>
                      <w:rFonts w:hint="eastAsia" w:ascii="Times New Roman" w:hAnsi="Times New Roman" w:eastAsia="宋体" w:cs="宋体"/>
                      <w:color w:val="auto"/>
                      <w:kern w:val="0"/>
                      <w:szCs w:val="21"/>
                      <w:highlight w:val="none"/>
                    </w:rPr>
                    <w:t>负责人</w:t>
                  </w:r>
                  <w:r>
                    <w:rPr>
                      <w:rFonts w:hint="eastAsia" w:ascii="Times New Roman" w:hAnsi="Times New Roman" w:eastAsia="宋体" w:cs="宋体"/>
                      <w:color w:val="auto"/>
                      <w:kern w:val="0"/>
                      <w:szCs w:val="21"/>
                      <w:highlight w:val="none"/>
                      <w:lang w:val="en-US" w:eastAsia="zh-CN"/>
                    </w:rPr>
                    <w:t>应是投标人（包括办事处、分公司等分支机构）自有员工，要求提供该人员与投标人签订的劳动合同或通过投标人缴纳的近三个月中任意一个月的社保证明作为证明依据。</w:t>
                  </w:r>
                  <w:r>
                    <w:rPr>
                      <w:rFonts w:hint="eastAsia" w:ascii="Times New Roman" w:hAnsi="Times New Roman" w:eastAsia="宋体" w:cs="宋体"/>
                      <w:color w:val="auto"/>
                      <w:kern w:val="0"/>
                      <w:szCs w:val="21"/>
                      <w:highlight w:val="none"/>
                    </w:rPr>
                    <w:t>若供应商成立不足三个月的，需提供成立情况说明函（格式自拟），无需提供相关人员社保，亦可得分</w:t>
                  </w:r>
                  <w:r>
                    <w:rPr>
                      <w:rFonts w:hint="eastAsia" w:ascii="Times New Roman" w:hAnsi="Times New Roman" w:eastAsia="宋体" w:cs="宋体"/>
                      <w:color w:val="auto"/>
                      <w:kern w:val="0"/>
                      <w:szCs w:val="21"/>
                      <w:highlight w:val="none"/>
                      <w:lang w:eastAsia="zh-CN"/>
                    </w:rPr>
                    <w:t>。</w:t>
                  </w:r>
                </w:p>
                <w:p w14:paraId="74CE951D">
                  <w:pPr>
                    <w:keepNext w:val="0"/>
                    <w:keepLines w:val="0"/>
                    <w:pageBreakBefore w:val="0"/>
                    <w:widowControl/>
                    <w:kinsoku/>
                    <w:wordWrap/>
                    <w:overflowPunct/>
                    <w:topLinePunct w:val="0"/>
                    <w:bidi w:val="0"/>
                    <w:adjustRightInd/>
                    <w:snapToGrid/>
                    <w:ind w:left="0" w:leftChars="0"/>
                    <w:jc w:val="both"/>
                    <w:textAlignment w:val="auto"/>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3、</w:t>
                  </w:r>
                  <w:r>
                    <w:rPr>
                      <w:rFonts w:hint="eastAsia" w:ascii="Times New Roman" w:hAnsi="Times New Roman" w:eastAsia="宋体" w:cs="宋体"/>
                      <w:color w:val="auto"/>
                      <w:kern w:val="0"/>
                      <w:szCs w:val="21"/>
                      <w:highlight w:val="none"/>
                    </w:rPr>
                    <w:t>以上材料均要求提供扫描件或官方网站截图并附带官方网站链接，原件备查。评分中出现无证明资料或专家无法凭所提供资料判断是否得分的情况，一律作不得分处理。</w:t>
                  </w:r>
                </w:p>
              </w:tc>
            </w:tr>
            <w:tr w14:paraId="3B268F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vMerge w:val="continue"/>
                  <w:tcBorders>
                    <w:tl2br w:val="nil"/>
                    <w:tr2bl w:val="nil"/>
                  </w:tcBorders>
                  <w:vAlign w:val="center"/>
                </w:tcPr>
                <w:p w14:paraId="57F3B935">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p>
              </w:tc>
              <w:tc>
                <w:tcPr>
                  <w:tcW w:w="275" w:type="pct"/>
                  <w:tcBorders>
                    <w:tl2br w:val="nil"/>
                    <w:tr2bl w:val="nil"/>
                  </w:tcBorders>
                  <w:shd w:val="clear" w:color="auto" w:fill="auto"/>
                  <w:vAlign w:val="center"/>
                </w:tcPr>
                <w:p w14:paraId="52282CC1">
                  <w:pPr>
                    <w:keepNext w:val="0"/>
                    <w:keepLines w:val="0"/>
                    <w:pageBreakBefore w:val="0"/>
                    <w:widowControl/>
                    <w:kinsoku/>
                    <w:wordWrap/>
                    <w:overflowPunct/>
                    <w:topLinePunct w:val="0"/>
                    <w:bidi w:val="0"/>
                    <w:adjustRightInd/>
                    <w:snapToGrid/>
                    <w:ind w:left="0" w:leftChars="0"/>
                    <w:jc w:val="center"/>
                    <w:textAlignment w:val="auto"/>
                    <w:rPr>
                      <w:rFonts w:hint="default"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7</w:t>
                  </w:r>
                </w:p>
              </w:tc>
              <w:tc>
                <w:tcPr>
                  <w:tcW w:w="435" w:type="pct"/>
                  <w:tcBorders>
                    <w:tl2br w:val="nil"/>
                    <w:tr2bl w:val="nil"/>
                  </w:tcBorders>
                  <w:shd w:val="clear" w:color="auto" w:fill="auto"/>
                  <w:vAlign w:val="center"/>
                </w:tcPr>
                <w:p w14:paraId="2E1748B4">
                  <w:pPr>
                    <w:keepNext w:val="0"/>
                    <w:keepLines w:val="0"/>
                    <w:pageBreakBefore w:val="0"/>
                    <w:widowControl/>
                    <w:kinsoku/>
                    <w:wordWrap/>
                    <w:overflowPunct/>
                    <w:topLinePunct w:val="0"/>
                    <w:bidi w:val="0"/>
                    <w:adjustRightInd/>
                    <w:snapToGrid/>
                    <w:ind w:left="0" w:leftChars="0"/>
                    <w:jc w:val="center"/>
                    <w:textAlignment w:val="auto"/>
                    <w:rPr>
                      <w:rFonts w:hint="eastAsia" w:ascii="Times New Roman" w:hAnsi="Times New Roman" w:eastAsia="宋体" w:cs="宋体"/>
                      <w:color w:val="auto"/>
                      <w:kern w:val="0"/>
                      <w:sz w:val="21"/>
                      <w:szCs w:val="21"/>
                      <w:highlight w:val="none"/>
                      <w:lang w:val="en-US" w:eastAsia="zh-CN" w:bidi="ar-SA"/>
                    </w:rPr>
                  </w:pPr>
                  <w:r>
                    <w:rPr>
                      <w:rFonts w:hint="eastAsia" w:ascii="Times New Roman" w:hAnsi="Times New Roman" w:eastAsia="宋体" w:cs="宋体"/>
                      <w:color w:val="auto"/>
                      <w:kern w:val="0"/>
                      <w:szCs w:val="21"/>
                      <w:highlight w:val="none"/>
                    </w:rPr>
                    <w:t>拟安排的项目主要团队成员（主要技术人员）情况（项目负责人除外）</w:t>
                  </w:r>
                </w:p>
              </w:tc>
              <w:tc>
                <w:tcPr>
                  <w:tcW w:w="292" w:type="pct"/>
                  <w:tcBorders>
                    <w:tl2br w:val="nil"/>
                    <w:tr2bl w:val="nil"/>
                  </w:tcBorders>
                  <w:shd w:val="clear" w:color="auto" w:fill="auto"/>
                  <w:vAlign w:val="center"/>
                </w:tcPr>
                <w:p w14:paraId="73975595">
                  <w:pPr>
                    <w:keepNext w:val="0"/>
                    <w:keepLines w:val="0"/>
                    <w:pageBreakBefore w:val="0"/>
                    <w:widowControl/>
                    <w:kinsoku/>
                    <w:wordWrap/>
                    <w:overflowPunct/>
                    <w:topLinePunct w:val="0"/>
                    <w:bidi w:val="0"/>
                    <w:adjustRightInd/>
                    <w:snapToGrid/>
                    <w:ind w:left="0" w:leftChars="0"/>
                    <w:jc w:val="center"/>
                    <w:textAlignment w:val="auto"/>
                    <w:rPr>
                      <w:rFonts w:hint="default" w:ascii="Times New Roman" w:hAnsi="Times New Roman" w:eastAsia="宋体" w:cs="宋体"/>
                      <w:color w:val="auto"/>
                      <w:kern w:val="0"/>
                      <w:sz w:val="21"/>
                      <w:szCs w:val="21"/>
                      <w:highlight w:val="none"/>
                      <w:lang w:val="en-US" w:eastAsia="zh-CN" w:bidi="ar-SA"/>
                    </w:rPr>
                  </w:pPr>
                  <w:r>
                    <w:rPr>
                      <w:rFonts w:hint="eastAsia" w:ascii="Times New Roman" w:hAnsi="Times New Roman" w:eastAsia="宋体" w:cs="宋体"/>
                      <w:color w:val="auto"/>
                      <w:kern w:val="0"/>
                      <w:sz w:val="21"/>
                      <w:szCs w:val="21"/>
                      <w:highlight w:val="none"/>
                      <w:lang w:val="en-US" w:eastAsia="zh-CN" w:bidi="ar-SA"/>
                    </w:rPr>
                    <w:t>16</w:t>
                  </w:r>
                </w:p>
              </w:tc>
              <w:tc>
                <w:tcPr>
                  <w:tcW w:w="3721" w:type="pct"/>
                  <w:tcBorders>
                    <w:tl2br w:val="nil"/>
                    <w:tr2bl w:val="nil"/>
                  </w:tcBorders>
                  <w:shd w:val="clear" w:color="auto" w:fill="auto"/>
                  <w:vAlign w:val="center"/>
                </w:tcPr>
                <w:p w14:paraId="499F719C">
                  <w:pPr>
                    <w:widowControl/>
                    <w:rPr>
                      <w:rFonts w:ascii="Times New Roman" w:hAnsi="Times New Roman" w:eastAsia="宋体" w:cs="宋体"/>
                      <w:color w:val="auto"/>
                      <w:kern w:val="0"/>
                      <w:szCs w:val="21"/>
                    </w:rPr>
                  </w:pPr>
                  <w:r>
                    <w:rPr>
                      <w:rFonts w:hint="eastAsia" w:ascii="Times New Roman" w:hAnsi="Times New Roman" w:eastAsia="宋体" w:cs="宋体"/>
                      <w:color w:val="auto"/>
                      <w:kern w:val="0"/>
                      <w:szCs w:val="21"/>
                    </w:rPr>
                    <w:t>一、评分内容</w:t>
                  </w:r>
                </w:p>
                <w:p w14:paraId="1D189166">
                  <w:pPr>
                    <w:widowControl/>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拟安排的项目团队成员不少于</w:t>
                  </w:r>
                  <w:r>
                    <w:rPr>
                      <w:rFonts w:hint="eastAsia" w:ascii="Times New Roman" w:hAnsi="Times New Roman" w:eastAsia="宋体" w:cs="宋体"/>
                      <w:color w:val="auto"/>
                      <w:kern w:val="0"/>
                      <w:szCs w:val="21"/>
                      <w:lang w:val="en-US" w:eastAsia="zh-CN"/>
                    </w:rPr>
                    <w:t>4</w:t>
                  </w:r>
                  <w:r>
                    <w:rPr>
                      <w:rFonts w:hint="eastAsia" w:ascii="Times New Roman" w:hAnsi="Times New Roman" w:eastAsia="宋体" w:cs="宋体"/>
                      <w:color w:val="auto"/>
                      <w:kern w:val="0"/>
                      <w:szCs w:val="21"/>
                    </w:rPr>
                    <w:t>人</w:t>
                  </w:r>
                  <w:r>
                    <w:rPr>
                      <w:rFonts w:hint="eastAsia" w:asciiTheme="minorEastAsia" w:hAnsiTheme="minorEastAsia" w:eastAsiaTheme="minorEastAsia"/>
                      <w:color w:val="auto"/>
                      <w:szCs w:val="21"/>
                    </w:rPr>
                    <w:t>，</w:t>
                  </w:r>
                  <w:r>
                    <w:rPr>
                      <w:rFonts w:hint="eastAsia" w:ascii="Times New Roman" w:hAnsi="Times New Roman" w:eastAsia="宋体" w:cs="宋体"/>
                      <w:color w:val="auto"/>
                      <w:kern w:val="0"/>
                      <w:szCs w:val="21"/>
                    </w:rPr>
                    <w:t>否则本项不得分。在此基础上，按照以下要求评分。</w:t>
                  </w:r>
                </w:p>
                <w:p w14:paraId="7C40427C">
                  <w:pPr>
                    <w:widowControl/>
                    <w:rPr>
                      <w:rFonts w:hint="eastAsia" w:ascii="Times New Roman" w:hAnsi="Times New Roman" w:eastAsia="宋体" w:cs="宋体"/>
                      <w:color w:val="auto"/>
                      <w:kern w:val="0"/>
                      <w:szCs w:val="21"/>
                      <w:lang w:eastAsia="zh-CN"/>
                    </w:rPr>
                  </w:pPr>
                  <w:r>
                    <w:rPr>
                      <w:rFonts w:hint="eastAsia" w:ascii="Times New Roman" w:hAnsi="Times New Roman" w:eastAsia="宋体"/>
                      <w:color w:val="auto"/>
                      <w:sz w:val="21"/>
                      <w:szCs w:val="21"/>
                      <w:highlight w:val="none"/>
                      <w:lang w:val="en-US" w:eastAsia="zh-CN"/>
                    </w:rPr>
                    <w:t>1.</w:t>
                  </w:r>
                  <w:r>
                    <w:rPr>
                      <w:rFonts w:hint="eastAsia" w:ascii="Times New Roman" w:hAnsi="Times New Roman" w:eastAsia="宋体"/>
                      <w:color w:val="auto"/>
                      <w:sz w:val="21"/>
                      <w:szCs w:val="21"/>
                      <w:highlight w:val="none"/>
                    </w:rPr>
                    <w:t>具有</w:t>
                  </w:r>
                  <w:r>
                    <w:rPr>
                      <w:rFonts w:hint="eastAsia" w:ascii="Times New Roman" w:hAnsi="Times New Roman" w:eastAsia="宋体"/>
                      <w:color w:val="auto"/>
                      <w:sz w:val="21"/>
                      <w:szCs w:val="21"/>
                      <w:highlight w:val="none"/>
                      <w:lang w:val="en-US" w:eastAsia="zh-CN"/>
                    </w:rPr>
                    <w:t>公安部网络安全等级保护评估中心（信息安全等级保护评估中心）</w:t>
                  </w:r>
                  <w:r>
                    <w:rPr>
                      <w:rFonts w:hint="eastAsia" w:ascii="Times New Roman" w:hAnsi="Times New Roman" w:eastAsia="宋体"/>
                      <w:color w:val="auto"/>
                      <w:sz w:val="21"/>
                      <w:szCs w:val="21"/>
                      <w:highlight w:val="none"/>
                    </w:rPr>
                    <w:t>或中关村信息安全测评联盟颁发的信息安全（网络安全）等级测评师证书</w:t>
                  </w:r>
                  <w:r>
                    <w:rPr>
                      <w:rFonts w:hint="eastAsia" w:ascii="Times New Roman" w:hAnsi="Times New Roman" w:eastAsia="宋体" w:cs="宋体"/>
                      <w:color w:val="auto"/>
                      <w:kern w:val="0"/>
                      <w:szCs w:val="21"/>
                    </w:rPr>
                    <w:t>，每提供一名得</w:t>
                  </w:r>
                  <w:r>
                    <w:rPr>
                      <w:rFonts w:hint="eastAsia" w:ascii="Times New Roman" w:hAnsi="Times New Roman" w:eastAsia="宋体" w:cs="宋体"/>
                      <w:color w:val="auto"/>
                      <w:kern w:val="0"/>
                      <w:szCs w:val="21"/>
                      <w:lang w:val="en-US" w:eastAsia="zh-CN"/>
                    </w:rPr>
                    <w:t>2</w:t>
                  </w:r>
                  <w:r>
                    <w:rPr>
                      <w:rFonts w:hint="eastAsia" w:ascii="Times New Roman" w:hAnsi="Times New Roman" w:eastAsia="宋体" w:cs="宋体"/>
                      <w:color w:val="auto"/>
                      <w:kern w:val="0"/>
                      <w:szCs w:val="21"/>
                    </w:rPr>
                    <w:t>分，</w:t>
                  </w:r>
                  <w:r>
                    <w:rPr>
                      <w:rFonts w:hint="eastAsia" w:ascii="Times New Roman" w:hAnsi="Times New Roman" w:eastAsia="宋体" w:cs="宋体"/>
                      <w:color w:val="auto"/>
                      <w:kern w:val="0"/>
                      <w:szCs w:val="21"/>
                      <w:lang w:eastAsia="zh-CN"/>
                    </w:rPr>
                    <w:t>此项最高得</w:t>
                  </w:r>
                  <w:r>
                    <w:rPr>
                      <w:rFonts w:hint="eastAsia" w:ascii="Times New Roman" w:hAnsi="Times New Roman" w:eastAsia="宋体" w:cs="宋体"/>
                      <w:color w:val="auto"/>
                      <w:kern w:val="0"/>
                      <w:szCs w:val="21"/>
                      <w:lang w:val="en-US" w:eastAsia="zh-CN"/>
                    </w:rPr>
                    <w:t>4</w:t>
                  </w:r>
                  <w:r>
                    <w:rPr>
                      <w:rFonts w:hint="eastAsia" w:ascii="Times New Roman" w:hAnsi="Times New Roman" w:eastAsia="宋体" w:cs="宋体"/>
                      <w:color w:val="auto"/>
                      <w:kern w:val="0"/>
                      <w:szCs w:val="21"/>
                    </w:rPr>
                    <w:t>分</w:t>
                  </w:r>
                  <w:r>
                    <w:rPr>
                      <w:rFonts w:hint="eastAsia" w:ascii="Times New Roman" w:hAnsi="Times New Roman" w:eastAsia="宋体" w:cs="宋体"/>
                      <w:color w:val="auto"/>
                      <w:kern w:val="0"/>
                      <w:szCs w:val="21"/>
                      <w:lang w:eastAsia="zh-CN"/>
                    </w:rPr>
                    <w:t>。</w:t>
                  </w:r>
                </w:p>
                <w:p w14:paraId="4F559838">
                  <w:pPr>
                    <w:widowControl/>
                    <w:rPr>
                      <w:rFonts w:hint="eastAsia" w:ascii="Times New Roman" w:hAnsi="Times New Roman" w:eastAsia="宋体" w:cs="宋体"/>
                      <w:color w:val="auto"/>
                      <w:kern w:val="0"/>
                      <w:szCs w:val="21"/>
                      <w:lang w:eastAsia="zh-CN"/>
                    </w:rPr>
                  </w:pPr>
                  <w:r>
                    <w:rPr>
                      <w:rFonts w:hint="eastAsia" w:ascii="Times New Roman" w:hAnsi="Times New Roman" w:eastAsia="宋体" w:cs="宋体"/>
                      <w:color w:val="auto"/>
                      <w:kern w:val="0"/>
                      <w:szCs w:val="21"/>
                      <w:lang w:val="en-US" w:eastAsia="zh-CN"/>
                    </w:rPr>
                    <w:t>2.</w:t>
                  </w:r>
                  <w:r>
                    <w:rPr>
                      <w:rFonts w:hint="eastAsia" w:ascii="Times New Roman" w:hAnsi="Times New Roman" w:eastAsia="宋体" w:cs="宋体"/>
                      <w:color w:val="auto"/>
                      <w:kern w:val="0"/>
                      <w:szCs w:val="21"/>
                    </w:rPr>
                    <w:t>具有国家密码管理局商用密码检测中心颁发的商用密码应用安全性评估人员考核合格证书，每提供一名得</w:t>
                  </w:r>
                  <w:r>
                    <w:rPr>
                      <w:rFonts w:hint="eastAsia" w:ascii="Times New Roman" w:hAnsi="Times New Roman" w:eastAsia="宋体" w:cs="宋体"/>
                      <w:color w:val="auto"/>
                      <w:kern w:val="0"/>
                      <w:szCs w:val="21"/>
                      <w:lang w:val="en-US" w:eastAsia="zh-CN"/>
                    </w:rPr>
                    <w:t>2</w:t>
                  </w:r>
                  <w:r>
                    <w:rPr>
                      <w:rFonts w:hint="eastAsia" w:ascii="Times New Roman" w:hAnsi="Times New Roman" w:eastAsia="宋体" w:cs="宋体"/>
                      <w:color w:val="auto"/>
                      <w:kern w:val="0"/>
                      <w:szCs w:val="21"/>
                    </w:rPr>
                    <w:t>分，</w:t>
                  </w:r>
                  <w:r>
                    <w:rPr>
                      <w:rFonts w:hint="eastAsia" w:ascii="Times New Roman" w:hAnsi="Times New Roman" w:eastAsia="宋体" w:cs="宋体"/>
                      <w:color w:val="auto"/>
                      <w:kern w:val="0"/>
                      <w:szCs w:val="21"/>
                      <w:lang w:eastAsia="zh-CN"/>
                    </w:rPr>
                    <w:t>此项最高得</w:t>
                  </w:r>
                  <w:r>
                    <w:rPr>
                      <w:rFonts w:hint="eastAsia" w:ascii="Times New Roman" w:hAnsi="Times New Roman" w:eastAsia="宋体" w:cs="宋体"/>
                      <w:color w:val="auto"/>
                      <w:kern w:val="0"/>
                      <w:szCs w:val="21"/>
                      <w:lang w:val="en-US" w:eastAsia="zh-CN"/>
                    </w:rPr>
                    <w:t>4</w:t>
                  </w:r>
                  <w:r>
                    <w:rPr>
                      <w:rFonts w:hint="eastAsia" w:ascii="Times New Roman" w:hAnsi="Times New Roman" w:eastAsia="宋体" w:cs="宋体"/>
                      <w:color w:val="auto"/>
                      <w:kern w:val="0"/>
                      <w:szCs w:val="21"/>
                    </w:rPr>
                    <w:t>分</w:t>
                  </w:r>
                  <w:r>
                    <w:rPr>
                      <w:rFonts w:hint="eastAsia" w:ascii="Times New Roman" w:hAnsi="Times New Roman" w:eastAsia="宋体" w:cs="宋体"/>
                      <w:color w:val="auto"/>
                      <w:kern w:val="0"/>
                      <w:szCs w:val="21"/>
                      <w:lang w:eastAsia="zh-CN"/>
                    </w:rPr>
                    <w:t>。</w:t>
                  </w:r>
                </w:p>
                <w:p w14:paraId="029EEBAD">
                  <w:pPr>
                    <w:widowControl/>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3.</w:t>
                  </w:r>
                  <w:r>
                    <w:rPr>
                      <w:rFonts w:hint="eastAsia" w:ascii="Times New Roman" w:hAnsi="Times New Roman" w:eastAsia="宋体" w:cs="宋体"/>
                      <w:color w:val="auto"/>
                      <w:kern w:val="0"/>
                      <w:szCs w:val="21"/>
                    </w:rPr>
                    <w:t>具有工业和信息化部教育与考试中心颁发的数据安全评估师，每提供一名得</w:t>
                  </w:r>
                  <w:r>
                    <w:rPr>
                      <w:rFonts w:hint="eastAsia" w:ascii="Times New Roman" w:hAnsi="Times New Roman" w:eastAsia="宋体" w:cs="宋体"/>
                      <w:color w:val="auto"/>
                      <w:kern w:val="0"/>
                      <w:szCs w:val="21"/>
                      <w:lang w:val="en-US" w:eastAsia="zh-CN"/>
                    </w:rPr>
                    <w:t>2</w:t>
                  </w:r>
                  <w:r>
                    <w:rPr>
                      <w:rFonts w:hint="eastAsia" w:ascii="Times New Roman" w:hAnsi="Times New Roman" w:eastAsia="宋体" w:cs="宋体"/>
                      <w:color w:val="auto"/>
                      <w:kern w:val="0"/>
                      <w:szCs w:val="21"/>
                    </w:rPr>
                    <w:t>分，</w:t>
                  </w:r>
                  <w:r>
                    <w:rPr>
                      <w:rFonts w:hint="eastAsia" w:ascii="Times New Roman" w:hAnsi="Times New Roman" w:eastAsia="宋体" w:cs="宋体"/>
                      <w:color w:val="auto"/>
                      <w:kern w:val="0"/>
                      <w:szCs w:val="21"/>
                      <w:lang w:eastAsia="zh-CN"/>
                    </w:rPr>
                    <w:t>此项最高得</w:t>
                  </w:r>
                  <w:r>
                    <w:rPr>
                      <w:rFonts w:hint="eastAsia" w:ascii="Times New Roman" w:hAnsi="Times New Roman" w:eastAsia="宋体" w:cs="宋体"/>
                      <w:color w:val="auto"/>
                      <w:kern w:val="0"/>
                      <w:szCs w:val="21"/>
                      <w:lang w:val="en-US" w:eastAsia="zh-CN"/>
                    </w:rPr>
                    <w:t>4</w:t>
                  </w:r>
                  <w:r>
                    <w:rPr>
                      <w:rFonts w:hint="eastAsia" w:ascii="Times New Roman" w:hAnsi="Times New Roman" w:eastAsia="宋体" w:cs="宋体"/>
                      <w:color w:val="auto"/>
                      <w:kern w:val="0"/>
                      <w:szCs w:val="21"/>
                    </w:rPr>
                    <w:t>分。</w:t>
                  </w:r>
                </w:p>
                <w:p w14:paraId="122103C6">
                  <w:pPr>
                    <w:widowControl/>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4.</w:t>
                  </w:r>
                  <w:r>
                    <w:rPr>
                      <w:rFonts w:hint="eastAsia" w:ascii="Times New Roman" w:hAnsi="Times New Roman" w:eastAsia="宋体" w:cs="宋体"/>
                      <w:color w:val="auto"/>
                      <w:kern w:val="0"/>
                      <w:szCs w:val="21"/>
                    </w:rPr>
                    <w:t>具有公安部</w:t>
                  </w:r>
                  <w:r>
                    <w:rPr>
                      <w:rFonts w:hint="eastAsia" w:ascii="Times New Roman" w:hAnsi="Times New Roman" w:eastAsia="宋体" w:cs="宋体"/>
                      <w:color w:val="auto"/>
                      <w:kern w:val="0"/>
                      <w:szCs w:val="21"/>
                      <w:lang w:val="en-US" w:eastAsia="zh-CN"/>
                    </w:rPr>
                    <w:t>网络</w:t>
                  </w:r>
                  <w:r>
                    <w:rPr>
                      <w:rFonts w:hint="eastAsia" w:ascii="Times New Roman" w:hAnsi="Times New Roman" w:eastAsia="宋体" w:cs="宋体"/>
                      <w:color w:val="auto"/>
                      <w:kern w:val="0"/>
                      <w:szCs w:val="21"/>
                    </w:rPr>
                    <w:t>安全等级保护评估中心</w:t>
                  </w:r>
                  <w:r>
                    <w:rPr>
                      <w:rFonts w:hint="eastAsia" w:ascii="Times New Roman" w:hAnsi="Times New Roman" w:eastAsia="宋体"/>
                      <w:color w:val="auto"/>
                      <w:sz w:val="21"/>
                      <w:szCs w:val="21"/>
                      <w:highlight w:val="none"/>
                      <w:lang w:val="en-US" w:eastAsia="zh-CN"/>
                    </w:rPr>
                    <w:t>（信息安全等级保护评估中心）</w:t>
                  </w:r>
                  <w:r>
                    <w:rPr>
                      <w:rFonts w:hint="eastAsia" w:ascii="Times New Roman" w:hAnsi="Times New Roman" w:eastAsia="宋体" w:cs="宋体"/>
                      <w:color w:val="auto"/>
                      <w:kern w:val="0"/>
                      <w:szCs w:val="21"/>
                    </w:rPr>
                    <w:t>颁发国家重要信息系统安全保护人员（CIIP-T），每提供一名得</w:t>
                  </w:r>
                  <w:r>
                    <w:rPr>
                      <w:rFonts w:hint="eastAsia" w:ascii="Times New Roman" w:hAnsi="Times New Roman" w:eastAsia="宋体" w:cs="宋体"/>
                      <w:color w:val="auto"/>
                      <w:kern w:val="0"/>
                      <w:szCs w:val="21"/>
                      <w:lang w:val="en-US" w:eastAsia="zh-CN"/>
                    </w:rPr>
                    <w:t>2</w:t>
                  </w:r>
                  <w:r>
                    <w:rPr>
                      <w:rFonts w:hint="eastAsia" w:ascii="Times New Roman" w:hAnsi="Times New Roman" w:eastAsia="宋体" w:cs="宋体"/>
                      <w:color w:val="auto"/>
                      <w:kern w:val="0"/>
                      <w:szCs w:val="21"/>
                    </w:rPr>
                    <w:t>分，</w:t>
                  </w:r>
                  <w:r>
                    <w:rPr>
                      <w:rFonts w:hint="eastAsia" w:ascii="Times New Roman" w:hAnsi="Times New Roman" w:eastAsia="宋体" w:cs="宋体"/>
                      <w:color w:val="auto"/>
                      <w:kern w:val="0"/>
                      <w:szCs w:val="21"/>
                      <w:lang w:eastAsia="zh-CN"/>
                    </w:rPr>
                    <w:t>此项最高得</w:t>
                  </w:r>
                  <w:r>
                    <w:rPr>
                      <w:rFonts w:hint="eastAsia" w:ascii="Times New Roman" w:hAnsi="Times New Roman" w:eastAsia="宋体" w:cs="宋体"/>
                      <w:color w:val="auto"/>
                      <w:kern w:val="0"/>
                      <w:szCs w:val="21"/>
                      <w:lang w:val="en-US" w:eastAsia="zh-CN"/>
                    </w:rPr>
                    <w:t>4</w:t>
                  </w:r>
                  <w:r>
                    <w:rPr>
                      <w:rFonts w:hint="eastAsia" w:ascii="Times New Roman" w:hAnsi="Times New Roman" w:eastAsia="宋体" w:cs="宋体"/>
                      <w:color w:val="auto"/>
                      <w:kern w:val="0"/>
                      <w:szCs w:val="21"/>
                    </w:rPr>
                    <w:t>分。</w:t>
                  </w:r>
                </w:p>
                <w:p w14:paraId="399755FE">
                  <w:pPr>
                    <w:widowControl/>
                    <w:rPr>
                      <w:rFonts w:ascii="Times New Roman" w:hAnsi="Times New Roman" w:eastAsia="宋体" w:cs="宋体"/>
                      <w:color w:val="auto"/>
                      <w:kern w:val="0"/>
                      <w:szCs w:val="21"/>
                    </w:rPr>
                  </w:pPr>
                  <w:r>
                    <w:rPr>
                      <w:rFonts w:hint="eastAsia" w:ascii="Times New Roman" w:hAnsi="Times New Roman" w:eastAsia="宋体" w:cs="宋体"/>
                      <w:color w:val="auto"/>
                      <w:kern w:val="0"/>
                      <w:szCs w:val="21"/>
                    </w:rPr>
                    <w:t>二、评分依据</w:t>
                  </w:r>
                </w:p>
                <w:p w14:paraId="539C278F">
                  <w:pPr>
                    <w:widowControl/>
                    <w:rPr>
                      <w:rFonts w:ascii="Times New Roman" w:hAnsi="Times New Roman" w:eastAsia="宋体" w:cs="宋体"/>
                      <w:color w:val="auto"/>
                      <w:kern w:val="0"/>
                      <w:szCs w:val="21"/>
                    </w:rPr>
                  </w:pPr>
                  <w:r>
                    <w:rPr>
                      <w:rFonts w:ascii="Times New Roman" w:hAnsi="Times New Roman" w:eastAsia="宋体" w:cs="宋体"/>
                      <w:color w:val="auto"/>
                      <w:kern w:val="0"/>
                      <w:szCs w:val="21"/>
                    </w:rPr>
                    <w:t>1.要求提供有效证明资料作为得分依据。涉及学历和</w:t>
                  </w:r>
                  <w:r>
                    <w:rPr>
                      <w:rFonts w:hint="eastAsia" w:ascii="Times New Roman" w:hAnsi="Times New Roman" w:eastAsia="宋体" w:cs="宋体"/>
                      <w:color w:val="auto"/>
                      <w:kern w:val="0"/>
                      <w:szCs w:val="21"/>
                    </w:rPr>
                    <w:t>认证证书</w:t>
                  </w:r>
                  <w:r>
                    <w:rPr>
                      <w:rFonts w:ascii="Times New Roman" w:hAnsi="Times New Roman" w:eastAsia="宋体" w:cs="宋体"/>
                      <w:color w:val="auto"/>
                      <w:kern w:val="0"/>
                      <w:szCs w:val="21"/>
                    </w:rPr>
                    <w:t>的，要求</w:t>
                  </w:r>
                  <w:r>
                    <w:rPr>
                      <w:rFonts w:hint="eastAsia" w:ascii="Times New Roman" w:hAnsi="Times New Roman" w:eastAsia="宋体" w:cs="宋体"/>
                      <w:color w:val="auto"/>
                      <w:kern w:val="0"/>
                      <w:szCs w:val="21"/>
                    </w:rPr>
                    <w:t>提供人员相关毕业证书或学信网验证报告和认证证书</w:t>
                  </w:r>
                  <w:r>
                    <w:rPr>
                      <w:rFonts w:ascii="Times New Roman" w:hAnsi="Times New Roman" w:eastAsia="宋体" w:cs="宋体"/>
                      <w:color w:val="auto"/>
                      <w:kern w:val="0"/>
                      <w:szCs w:val="21"/>
                    </w:rPr>
                    <w:t>扫描件；涉及工作经验年限的，要求提供人员</w:t>
                  </w:r>
                  <w:r>
                    <w:rPr>
                      <w:rFonts w:hint="eastAsia" w:ascii="Times New Roman" w:hAnsi="Times New Roman" w:eastAsia="宋体" w:cs="宋体"/>
                      <w:color w:val="auto"/>
                      <w:kern w:val="0"/>
                      <w:szCs w:val="21"/>
                    </w:rPr>
                    <w:t>毕业证书日期</w:t>
                  </w:r>
                  <w:r>
                    <w:rPr>
                      <w:rFonts w:ascii="Times New Roman" w:hAnsi="Times New Roman" w:eastAsia="宋体" w:cs="宋体"/>
                      <w:color w:val="auto"/>
                      <w:kern w:val="0"/>
                      <w:szCs w:val="21"/>
                    </w:rPr>
                    <w:t>；涉及项目经验的，要求提供人员负责过相关项目的有效证明文件，如项目合同，以及投标文件或往来函件或验收材料或</w:t>
                  </w:r>
                  <w:r>
                    <w:rPr>
                      <w:rFonts w:hint="eastAsia" w:ascii="Times New Roman" w:hAnsi="Times New Roman" w:eastAsia="宋体" w:cs="宋体"/>
                      <w:color w:val="auto"/>
                      <w:kern w:val="0"/>
                      <w:szCs w:val="21"/>
                    </w:rPr>
                    <w:t>采购人</w:t>
                  </w:r>
                  <w:r>
                    <w:rPr>
                      <w:rFonts w:ascii="Times New Roman" w:hAnsi="Times New Roman" w:eastAsia="宋体" w:cs="宋体"/>
                      <w:color w:val="auto"/>
                      <w:kern w:val="0"/>
                      <w:szCs w:val="21"/>
                    </w:rPr>
                    <w:t>证明等含有项目人员信息的有效证明文件作为得分依据。</w:t>
                  </w:r>
                </w:p>
                <w:p w14:paraId="36DAF0A6">
                  <w:pPr>
                    <w:widowControl/>
                    <w:rPr>
                      <w:rFonts w:ascii="Times New Roman" w:hAnsi="Times New Roman" w:eastAsia="宋体" w:cs="宋体"/>
                      <w:color w:val="auto"/>
                      <w:kern w:val="0"/>
                      <w:szCs w:val="21"/>
                    </w:rPr>
                  </w:pPr>
                  <w:r>
                    <w:rPr>
                      <w:rFonts w:ascii="Times New Roman" w:hAnsi="Times New Roman" w:eastAsia="宋体" w:cs="宋体"/>
                      <w:color w:val="auto"/>
                      <w:kern w:val="0"/>
                      <w:szCs w:val="21"/>
                    </w:rPr>
                    <w:t>2.</w:t>
                  </w:r>
                  <w:r>
                    <w:rPr>
                      <w:rFonts w:hint="eastAsia" w:ascii="Times New Roman" w:hAnsi="Times New Roman" w:eastAsia="宋体" w:cs="宋体"/>
                      <w:color w:val="auto"/>
                      <w:kern w:val="0"/>
                      <w:szCs w:val="21"/>
                    </w:rPr>
                    <w:t>拟安排的项目团队成员应是投标人（包括办事处、分公司等分支机构）自有员工，要求提供该人员与投标人签订的劳动合同或通过投标人缴纳的近三个月中任意一个月的社保证明作为证明依据。若供应商成立不足三个月的，需提供成立情况说明函（格式自拟），无需提供相关人员社保，亦可得分。</w:t>
                  </w:r>
                </w:p>
                <w:p w14:paraId="3AFF4516">
                  <w:pPr>
                    <w:rPr>
                      <w:rFonts w:hint="eastAsia" w:ascii="Times New Roman" w:hAnsi="Times New Roman" w:eastAsia="宋体" w:cs="宋体"/>
                      <w:color w:val="auto"/>
                      <w:kern w:val="0"/>
                      <w:sz w:val="21"/>
                      <w:szCs w:val="21"/>
                      <w:highlight w:val="none"/>
                      <w:lang w:val="en-US" w:eastAsia="zh-CN" w:bidi="ar-SA"/>
                    </w:rPr>
                  </w:pPr>
                  <w:r>
                    <w:rPr>
                      <w:rFonts w:ascii="Times New Roman" w:hAnsi="Times New Roman" w:eastAsia="宋体" w:cs="宋体"/>
                      <w:color w:val="auto"/>
                      <w:kern w:val="0"/>
                      <w:szCs w:val="21"/>
                    </w:rPr>
                    <w:t>3.以上材料均要求提供扫描件或官方网站截图并附带官方网站链接，原件备查。评分中出现无证明资料或专家无法凭所提供资料判断是否得分的情况，一律作不得分处理。</w:t>
                  </w:r>
                </w:p>
              </w:tc>
            </w:tr>
            <w:tr w14:paraId="00E823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vMerge w:val="continue"/>
                  <w:tcBorders>
                    <w:tl2br w:val="nil"/>
                    <w:tr2bl w:val="nil"/>
                  </w:tcBorders>
                  <w:vAlign w:val="center"/>
                </w:tcPr>
                <w:p w14:paraId="2B44F8FF">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p>
              </w:tc>
              <w:tc>
                <w:tcPr>
                  <w:tcW w:w="275" w:type="pct"/>
                  <w:tcBorders>
                    <w:tl2br w:val="nil"/>
                    <w:tr2bl w:val="nil"/>
                  </w:tcBorders>
                  <w:shd w:val="clear" w:color="auto" w:fill="auto"/>
                  <w:vAlign w:val="center"/>
                </w:tcPr>
                <w:p w14:paraId="4EC35CA8">
                  <w:pPr>
                    <w:keepNext w:val="0"/>
                    <w:keepLines w:val="0"/>
                    <w:pageBreakBefore w:val="0"/>
                    <w:widowControl/>
                    <w:kinsoku/>
                    <w:wordWrap/>
                    <w:overflowPunct/>
                    <w:topLinePunct w:val="0"/>
                    <w:bidi w:val="0"/>
                    <w:adjustRightInd/>
                    <w:snapToGrid/>
                    <w:ind w:left="0" w:leftChars="0"/>
                    <w:jc w:val="center"/>
                    <w:textAlignment w:val="auto"/>
                    <w:rPr>
                      <w:rFonts w:hint="default"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8</w:t>
                  </w:r>
                </w:p>
              </w:tc>
              <w:tc>
                <w:tcPr>
                  <w:tcW w:w="435" w:type="pct"/>
                  <w:tcBorders>
                    <w:tl2br w:val="nil"/>
                    <w:tr2bl w:val="nil"/>
                  </w:tcBorders>
                  <w:shd w:val="clear" w:color="auto" w:fill="auto"/>
                  <w:vAlign w:val="top"/>
                </w:tcPr>
                <w:p w14:paraId="6A7A8807">
                  <w:pPr>
                    <w:keepNext w:val="0"/>
                    <w:keepLines w:val="0"/>
                    <w:pageBreakBefore w:val="0"/>
                    <w:widowControl/>
                    <w:kinsoku/>
                    <w:wordWrap/>
                    <w:overflowPunct/>
                    <w:topLinePunct w:val="0"/>
                    <w:bidi w:val="0"/>
                    <w:adjustRightInd/>
                    <w:snapToGrid/>
                    <w:ind w:left="0" w:leftChars="0"/>
                    <w:jc w:val="center"/>
                    <w:textAlignment w:val="auto"/>
                    <w:rPr>
                      <w:rFonts w:hint="eastAsia" w:ascii="宋体" w:hAnsi="宋体" w:eastAsia="等线" w:cs="仿宋"/>
                      <w:color w:val="auto"/>
                      <w:kern w:val="2"/>
                      <w:sz w:val="21"/>
                      <w:szCs w:val="21"/>
                      <w:lang w:val="en-US" w:eastAsia="zh-CN" w:bidi="ar-SA"/>
                    </w:rPr>
                  </w:pPr>
                  <w:r>
                    <w:rPr>
                      <w:rFonts w:hint="eastAsia" w:ascii="Times New Roman" w:hAnsi="Times New Roman" w:eastAsia="宋体" w:cs="宋体"/>
                      <w:color w:val="auto"/>
                      <w:kern w:val="0"/>
                      <w:szCs w:val="21"/>
                      <w:highlight w:val="none"/>
                    </w:rPr>
                    <w:t>项目拟使用车辆、场地、工具等情况</w:t>
                  </w:r>
                </w:p>
              </w:tc>
              <w:tc>
                <w:tcPr>
                  <w:tcW w:w="292" w:type="pct"/>
                  <w:tcBorders>
                    <w:tl2br w:val="nil"/>
                    <w:tr2bl w:val="nil"/>
                  </w:tcBorders>
                  <w:shd w:val="clear" w:color="auto" w:fill="auto"/>
                  <w:vAlign w:val="center"/>
                </w:tcPr>
                <w:p w14:paraId="01B35071">
                  <w:pPr>
                    <w:keepNext w:val="0"/>
                    <w:keepLines w:val="0"/>
                    <w:pageBreakBefore w:val="0"/>
                    <w:widowControl/>
                    <w:kinsoku/>
                    <w:wordWrap/>
                    <w:overflowPunct/>
                    <w:topLinePunct w:val="0"/>
                    <w:bidi w:val="0"/>
                    <w:adjustRightInd/>
                    <w:snapToGrid/>
                    <w:ind w:left="0" w:leftChars="0"/>
                    <w:jc w:val="center"/>
                    <w:textAlignment w:val="auto"/>
                    <w:rPr>
                      <w:rFonts w:hint="default" w:ascii="Times New Roman" w:hAnsi="Times New Roman" w:eastAsia="宋体" w:cs="宋体"/>
                      <w:color w:val="auto"/>
                      <w:kern w:val="0"/>
                      <w:sz w:val="21"/>
                      <w:szCs w:val="21"/>
                      <w:highlight w:val="none"/>
                      <w:lang w:val="en-US" w:eastAsia="zh-CN" w:bidi="ar-SA"/>
                    </w:rPr>
                  </w:pPr>
                  <w:r>
                    <w:rPr>
                      <w:rFonts w:hint="eastAsia" w:ascii="Times New Roman" w:hAnsi="Times New Roman" w:eastAsia="宋体" w:cs="宋体"/>
                      <w:color w:val="auto"/>
                      <w:kern w:val="0"/>
                      <w:sz w:val="21"/>
                      <w:szCs w:val="21"/>
                      <w:highlight w:val="none"/>
                      <w:lang w:val="en-US" w:eastAsia="zh-CN" w:bidi="ar-SA"/>
                    </w:rPr>
                    <w:t>3</w:t>
                  </w:r>
                </w:p>
              </w:tc>
              <w:tc>
                <w:tcPr>
                  <w:tcW w:w="3721" w:type="pct"/>
                  <w:tcBorders>
                    <w:tl2br w:val="nil"/>
                    <w:tr2bl w:val="nil"/>
                  </w:tcBorders>
                  <w:shd w:val="clear" w:color="auto" w:fill="auto"/>
                  <w:vAlign w:val="top"/>
                </w:tcPr>
                <w:p w14:paraId="45486111">
                  <w:pPr>
                    <w:keepNext w:val="0"/>
                    <w:keepLines w:val="0"/>
                    <w:pageBreakBefore w:val="0"/>
                    <w:widowControl/>
                    <w:numPr>
                      <w:ilvl w:val="0"/>
                      <w:numId w:val="0"/>
                    </w:numPr>
                    <w:kinsoku/>
                    <w:wordWrap/>
                    <w:overflowPunct/>
                    <w:topLinePunct w:val="0"/>
                    <w:bidi w:val="0"/>
                    <w:adjustRightInd/>
                    <w:snapToGrid/>
                    <w:jc w:val="left"/>
                    <w:textAlignment w:val="auto"/>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一、评分内容</w:t>
                  </w:r>
                </w:p>
                <w:p w14:paraId="33E39236">
                  <w:pPr>
                    <w:keepNext w:val="0"/>
                    <w:keepLines w:val="0"/>
                    <w:pageBreakBefore w:val="0"/>
                    <w:widowControl/>
                    <w:numPr>
                      <w:ilvl w:val="0"/>
                      <w:numId w:val="0"/>
                    </w:numPr>
                    <w:kinsoku/>
                    <w:wordWrap/>
                    <w:overflowPunct/>
                    <w:topLinePunct w:val="0"/>
                    <w:bidi w:val="0"/>
                    <w:adjustRightInd/>
                    <w:snapToGrid/>
                    <w:jc w:val="left"/>
                    <w:textAlignment w:val="auto"/>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投标人应承诺提供商用密码应用安全评估、网络安全等级保护测评相关检测工具。</w:t>
                  </w:r>
                </w:p>
                <w:p w14:paraId="3855B6BA">
                  <w:pPr>
                    <w:keepNext w:val="0"/>
                    <w:keepLines w:val="0"/>
                    <w:pageBreakBefore w:val="0"/>
                    <w:widowControl/>
                    <w:numPr>
                      <w:ilvl w:val="0"/>
                      <w:numId w:val="0"/>
                    </w:numPr>
                    <w:kinsoku/>
                    <w:wordWrap/>
                    <w:overflowPunct/>
                    <w:topLinePunct w:val="0"/>
                    <w:bidi w:val="0"/>
                    <w:adjustRightInd/>
                    <w:snapToGrid/>
                    <w:jc w:val="left"/>
                    <w:textAlignment w:val="auto"/>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二、评分依据</w:t>
                  </w:r>
                </w:p>
                <w:p w14:paraId="37E1B430">
                  <w:pPr>
                    <w:keepNext w:val="0"/>
                    <w:keepLines w:val="0"/>
                    <w:pageBreakBefore w:val="0"/>
                    <w:widowControl/>
                    <w:numPr>
                      <w:ilvl w:val="0"/>
                      <w:numId w:val="0"/>
                    </w:numPr>
                    <w:kinsoku/>
                    <w:wordWrap/>
                    <w:overflowPunct/>
                    <w:topLinePunct w:val="0"/>
                    <w:bidi w:val="0"/>
                    <w:adjustRightInd/>
                    <w:snapToGrid/>
                    <w:ind w:left="0" w:leftChars="0" w:firstLine="0" w:firstLineChars="0"/>
                    <w:jc w:val="left"/>
                    <w:textAlignment w:val="auto"/>
                    <w:rPr>
                      <w:rFonts w:hint="eastAsia" w:ascii="Times New Roman" w:hAnsi="Times New Roman" w:eastAsia="宋体" w:cs="宋体"/>
                      <w:color w:val="auto"/>
                      <w:kern w:val="0"/>
                      <w:sz w:val="21"/>
                      <w:szCs w:val="21"/>
                      <w:highlight w:val="none"/>
                      <w:lang w:val="en-US" w:eastAsia="zh-CN" w:bidi="ar-SA"/>
                    </w:rPr>
                  </w:pPr>
                  <w:r>
                    <w:rPr>
                      <w:rFonts w:hint="eastAsia" w:ascii="Times New Roman" w:hAnsi="Times New Roman" w:eastAsia="宋体" w:cs="宋体"/>
                      <w:color w:val="auto"/>
                      <w:sz w:val="21"/>
                      <w:szCs w:val="21"/>
                      <w:highlight w:val="none"/>
                      <w:lang w:val="en-US" w:eastAsia="zh-CN"/>
                    </w:rPr>
                    <w:t>投标人提供承诺书（格式自定）作为得分依据，提供承诺函满足以上要求的得3分，未提供承诺或承诺内容不满足要求不得分</w:t>
                  </w:r>
                  <w:r>
                    <w:rPr>
                      <w:rFonts w:hint="eastAsia" w:ascii="Times New Roman" w:hAnsi="Times New Roman" w:eastAsia="宋体" w:cs="宋体"/>
                      <w:color w:val="auto"/>
                      <w:kern w:val="0"/>
                      <w:szCs w:val="21"/>
                      <w:highlight w:val="none"/>
                      <w:lang w:val="en-US" w:eastAsia="zh-CN"/>
                    </w:rPr>
                    <w:t>。</w:t>
                  </w:r>
                </w:p>
              </w:tc>
            </w:tr>
            <w:tr w14:paraId="212730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tcBorders>
                    <w:tl2br w:val="nil"/>
                    <w:tr2bl w:val="nil"/>
                  </w:tcBorders>
                  <w:shd w:val="clear" w:color="auto" w:fill="auto"/>
                  <w:vAlign w:val="center"/>
                </w:tcPr>
                <w:p w14:paraId="7DAEAFA9">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b/>
                      <w:bCs/>
                      <w:color w:val="auto"/>
                      <w:kern w:val="0"/>
                      <w:szCs w:val="21"/>
                      <w:highlight w:val="none"/>
                    </w:rPr>
                  </w:pPr>
                  <w:r>
                    <w:rPr>
                      <w:rFonts w:hint="eastAsia" w:ascii="Times New Roman" w:hAnsi="Times New Roman" w:eastAsia="宋体" w:cs="宋体"/>
                      <w:b/>
                      <w:bCs/>
                      <w:color w:val="auto"/>
                      <w:kern w:val="0"/>
                      <w:szCs w:val="21"/>
                      <w:highlight w:val="none"/>
                    </w:rPr>
                    <w:t>3</w:t>
                  </w:r>
                </w:p>
              </w:tc>
              <w:tc>
                <w:tcPr>
                  <w:tcW w:w="1004" w:type="pct"/>
                  <w:gridSpan w:val="3"/>
                  <w:tcBorders>
                    <w:tl2br w:val="nil"/>
                    <w:tr2bl w:val="nil"/>
                  </w:tcBorders>
                  <w:shd w:val="clear" w:color="auto" w:fill="auto"/>
                  <w:vAlign w:val="center"/>
                </w:tcPr>
                <w:p w14:paraId="49A3D2DD">
                  <w:pPr>
                    <w:keepNext w:val="0"/>
                    <w:keepLines w:val="0"/>
                    <w:pageBreakBefore w:val="0"/>
                    <w:widowControl/>
                    <w:kinsoku/>
                    <w:wordWrap/>
                    <w:overflowPunct/>
                    <w:topLinePunct w:val="0"/>
                    <w:bidi w:val="0"/>
                    <w:adjustRightInd/>
                    <w:snapToGrid/>
                    <w:ind w:left="0" w:leftChars="0"/>
                    <w:jc w:val="center"/>
                    <w:textAlignment w:val="auto"/>
                    <w:rPr>
                      <w:rFonts w:hint="default" w:ascii="Times New Roman" w:hAnsi="Times New Roman" w:eastAsia="宋体" w:cs="宋体"/>
                      <w:b/>
                      <w:bCs/>
                      <w:color w:val="auto"/>
                      <w:kern w:val="0"/>
                      <w:szCs w:val="21"/>
                      <w:highlight w:val="none"/>
                      <w:lang w:val="en-US"/>
                    </w:rPr>
                  </w:pPr>
                  <w:r>
                    <w:rPr>
                      <w:rFonts w:hint="eastAsia" w:ascii="Times New Roman" w:hAnsi="Times New Roman" w:eastAsia="宋体" w:cs="宋体"/>
                      <w:b/>
                      <w:bCs/>
                      <w:color w:val="auto"/>
                      <w:kern w:val="0"/>
                      <w:szCs w:val="21"/>
                      <w:highlight w:val="none"/>
                      <w:lang w:val="en-US" w:eastAsia="zh-CN"/>
                    </w:rPr>
                    <w:t>商务部分</w:t>
                  </w:r>
                </w:p>
              </w:tc>
              <w:tc>
                <w:tcPr>
                  <w:tcW w:w="3721" w:type="pct"/>
                  <w:tcBorders>
                    <w:tl2br w:val="nil"/>
                    <w:tr2bl w:val="nil"/>
                  </w:tcBorders>
                  <w:shd w:val="clear" w:color="auto" w:fill="auto"/>
                  <w:vAlign w:val="center"/>
                </w:tcPr>
                <w:p w14:paraId="487D902C">
                  <w:pPr>
                    <w:keepNext w:val="0"/>
                    <w:keepLines w:val="0"/>
                    <w:pageBreakBefore w:val="0"/>
                    <w:widowControl/>
                    <w:kinsoku/>
                    <w:wordWrap/>
                    <w:overflowPunct/>
                    <w:topLinePunct w:val="0"/>
                    <w:bidi w:val="0"/>
                    <w:adjustRightInd/>
                    <w:snapToGrid/>
                    <w:ind w:left="0" w:leftChars="0"/>
                    <w:jc w:val="center"/>
                    <w:textAlignment w:val="auto"/>
                    <w:rPr>
                      <w:rFonts w:hint="default" w:ascii="Times New Roman" w:hAnsi="Times New Roman" w:eastAsia="宋体" w:cs="宋体"/>
                      <w:b/>
                      <w:bCs/>
                      <w:color w:val="auto"/>
                      <w:kern w:val="0"/>
                      <w:szCs w:val="21"/>
                      <w:highlight w:val="none"/>
                      <w:lang w:val="en-US" w:eastAsia="zh-CN"/>
                    </w:rPr>
                  </w:pPr>
                  <w:r>
                    <w:rPr>
                      <w:rFonts w:hint="eastAsia" w:ascii="Times New Roman" w:hAnsi="Times New Roman" w:eastAsia="宋体" w:cs="宋体"/>
                      <w:b/>
                      <w:bCs/>
                      <w:color w:val="auto"/>
                      <w:kern w:val="0"/>
                      <w:szCs w:val="21"/>
                      <w:highlight w:val="none"/>
                      <w:lang w:val="en-US" w:eastAsia="zh-CN"/>
                    </w:rPr>
                    <w:t>26</w:t>
                  </w:r>
                </w:p>
              </w:tc>
            </w:tr>
            <w:tr w14:paraId="5EAEF6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vMerge w:val="restart"/>
                  <w:tcBorders>
                    <w:tl2br w:val="nil"/>
                    <w:tr2bl w:val="nil"/>
                  </w:tcBorders>
                  <w:shd w:val="clear" w:color="auto" w:fill="auto"/>
                  <w:vAlign w:val="center"/>
                </w:tcPr>
                <w:p w14:paraId="7C2BB031">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p>
              </w:tc>
              <w:tc>
                <w:tcPr>
                  <w:tcW w:w="275" w:type="pct"/>
                  <w:tcBorders>
                    <w:tl2br w:val="nil"/>
                    <w:tr2bl w:val="nil"/>
                  </w:tcBorders>
                  <w:shd w:val="clear" w:color="auto" w:fill="auto"/>
                  <w:vAlign w:val="center"/>
                </w:tcPr>
                <w:p w14:paraId="22B2261D">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行号</w:t>
                  </w:r>
                </w:p>
              </w:tc>
              <w:tc>
                <w:tcPr>
                  <w:tcW w:w="435" w:type="pct"/>
                  <w:tcBorders>
                    <w:tl2br w:val="nil"/>
                    <w:tr2bl w:val="nil"/>
                  </w:tcBorders>
                  <w:shd w:val="clear" w:color="auto" w:fill="auto"/>
                  <w:vAlign w:val="center"/>
                </w:tcPr>
                <w:p w14:paraId="3B839348">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内容</w:t>
                  </w:r>
                </w:p>
              </w:tc>
              <w:tc>
                <w:tcPr>
                  <w:tcW w:w="292" w:type="pct"/>
                  <w:tcBorders>
                    <w:tl2br w:val="nil"/>
                    <w:tr2bl w:val="nil"/>
                  </w:tcBorders>
                  <w:shd w:val="clear" w:color="auto" w:fill="auto"/>
                  <w:vAlign w:val="center"/>
                </w:tcPr>
                <w:p w14:paraId="36CE1AAA">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权重</w:t>
                  </w:r>
                </w:p>
              </w:tc>
              <w:tc>
                <w:tcPr>
                  <w:tcW w:w="3721" w:type="pct"/>
                  <w:tcBorders>
                    <w:tl2br w:val="nil"/>
                    <w:tr2bl w:val="nil"/>
                  </w:tcBorders>
                  <w:shd w:val="clear" w:color="auto" w:fill="auto"/>
                  <w:vAlign w:val="center"/>
                </w:tcPr>
                <w:p w14:paraId="678B6C1F">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评分准则</w:t>
                  </w:r>
                </w:p>
              </w:tc>
            </w:tr>
            <w:tr w14:paraId="324391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vMerge w:val="continue"/>
                  <w:tcBorders>
                    <w:tl2br w:val="nil"/>
                    <w:tr2bl w:val="nil"/>
                  </w:tcBorders>
                  <w:vAlign w:val="center"/>
                </w:tcPr>
                <w:p w14:paraId="6F3B5A1F">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p>
              </w:tc>
              <w:tc>
                <w:tcPr>
                  <w:tcW w:w="275" w:type="pct"/>
                  <w:tcBorders>
                    <w:tl2br w:val="nil"/>
                    <w:tr2bl w:val="nil"/>
                  </w:tcBorders>
                  <w:shd w:val="clear" w:color="auto" w:fill="auto"/>
                  <w:vAlign w:val="center"/>
                </w:tcPr>
                <w:p w14:paraId="26A0C3D5">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1</w:t>
                  </w:r>
                </w:p>
              </w:tc>
              <w:tc>
                <w:tcPr>
                  <w:tcW w:w="435" w:type="pct"/>
                  <w:tcBorders>
                    <w:tl2br w:val="nil"/>
                    <w:tr2bl w:val="nil"/>
                  </w:tcBorders>
                  <w:shd w:val="clear" w:color="auto" w:fill="auto"/>
                  <w:vAlign w:val="center"/>
                </w:tcPr>
                <w:p w14:paraId="32BD6629">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投标人通过相关认证情况</w:t>
                  </w:r>
                </w:p>
              </w:tc>
              <w:tc>
                <w:tcPr>
                  <w:tcW w:w="292" w:type="pct"/>
                  <w:tcBorders>
                    <w:tl2br w:val="nil"/>
                    <w:tr2bl w:val="nil"/>
                  </w:tcBorders>
                  <w:shd w:val="clear" w:color="auto" w:fill="auto"/>
                  <w:vAlign w:val="center"/>
                </w:tcPr>
                <w:p w14:paraId="3BBD7FA6">
                  <w:pPr>
                    <w:keepNext w:val="0"/>
                    <w:keepLines w:val="0"/>
                    <w:pageBreakBefore w:val="0"/>
                    <w:widowControl/>
                    <w:kinsoku/>
                    <w:wordWrap/>
                    <w:overflowPunct/>
                    <w:topLinePunct w:val="0"/>
                    <w:bidi w:val="0"/>
                    <w:adjustRightInd/>
                    <w:snapToGrid/>
                    <w:ind w:left="0" w:leftChars="0"/>
                    <w:jc w:val="center"/>
                    <w:textAlignment w:val="auto"/>
                    <w:rPr>
                      <w:rFonts w:hint="default"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5</w:t>
                  </w:r>
                </w:p>
              </w:tc>
              <w:tc>
                <w:tcPr>
                  <w:tcW w:w="3721" w:type="pct"/>
                  <w:tcBorders>
                    <w:tl2br w:val="nil"/>
                    <w:tr2bl w:val="nil"/>
                  </w:tcBorders>
                  <w:shd w:val="clear" w:color="auto" w:fill="auto"/>
                  <w:vAlign w:val="center"/>
                </w:tcPr>
                <w:p w14:paraId="4833C7BB">
                  <w:pPr>
                    <w:numPr>
                      <w:ilvl w:val="0"/>
                      <w:numId w:val="4"/>
                    </w:numPr>
                    <w:autoSpaceDE w:val="0"/>
                    <w:autoSpaceDN w:val="0"/>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评分内容</w:t>
                  </w:r>
                </w:p>
                <w:p w14:paraId="0D1F4D09">
                  <w:pPr>
                    <w:numPr>
                      <w:ilvl w:val="0"/>
                      <w:numId w:val="0"/>
                    </w:numPr>
                    <w:autoSpaceDE w:val="0"/>
                    <w:autoSpaceDN w:val="0"/>
                    <w:rPr>
                      <w:rFonts w:hint="eastAsia" w:ascii="Times New Roman" w:hAnsi="Times New Roman" w:eastAsia="宋体"/>
                      <w:color w:val="auto"/>
                      <w:szCs w:val="21"/>
                    </w:rPr>
                  </w:pPr>
                  <w:r>
                    <w:rPr>
                      <w:rFonts w:hint="eastAsia" w:ascii="Times New Roman" w:hAnsi="Times New Roman" w:eastAsia="宋体" w:cs="宋体"/>
                      <w:color w:val="auto"/>
                      <w:sz w:val="21"/>
                      <w:szCs w:val="21"/>
                      <w:highlight w:val="none"/>
                      <w:lang w:val="en-US" w:eastAsia="zh-CN"/>
                    </w:rPr>
                    <w:t>1.</w:t>
                  </w:r>
                  <w:r>
                    <w:rPr>
                      <w:rFonts w:hint="eastAsia" w:ascii="Times New Roman" w:hAnsi="Times New Roman" w:eastAsia="宋体"/>
                      <w:color w:val="auto"/>
                      <w:szCs w:val="21"/>
                    </w:rPr>
                    <w:t>具有网络安全检测和测评技术的开发、检测和测评服务</w:t>
                  </w:r>
                  <w:r>
                    <w:rPr>
                      <w:rFonts w:hint="eastAsia" w:ascii="Times New Roman" w:hAnsi="Times New Roman" w:eastAsia="宋体"/>
                      <w:color w:val="auto"/>
                      <w:szCs w:val="21"/>
                      <w:lang w:val="en-US" w:eastAsia="zh-CN"/>
                    </w:rPr>
                    <w:t>范围的</w:t>
                  </w:r>
                  <w:r>
                    <w:rPr>
                      <w:rFonts w:hint="eastAsia" w:ascii="Times New Roman" w:hAnsi="Times New Roman" w:eastAsia="宋体"/>
                      <w:color w:val="auto"/>
                      <w:szCs w:val="21"/>
                    </w:rPr>
                    <w:t>知识产权管理体系认证证书，得</w:t>
                  </w:r>
                  <w:r>
                    <w:rPr>
                      <w:rFonts w:hint="eastAsia" w:ascii="Times New Roman" w:hAnsi="Times New Roman" w:eastAsia="宋体"/>
                      <w:color w:val="auto"/>
                      <w:szCs w:val="21"/>
                      <w:lang w:val="en-US" w:eastAsia="zh-CN"/>
                    </w:rPr>
                    <w:t>2.5</w:t>
                  </w:r>
                  <w:r>
                    <w:rPr>
                      <w:rFonts w:hint="eastAsia" w:ascii="Times New Roman" w:hAnsi="Times New Roman" w:eastAsia="宋体"/>
                      <w:color w:val="auto"/>
                      <w:szCs w:val="21"/>
                    </w:rPr>
                    <w:t>分。</w:t>
                  </w:r>
                </w:p>
                <w:p w14:paraId="040FC9B3">
                  <w:pPr>
                    <w:numPr>
                      <w:ilvl w:val="0"/>
                      <w:numId w:val="0"/>
                    </w:numPr>
                    <w:autoSpaceDE w:val="0"/>
                    <w:autoSpaceDN w:val="0"/>
                    <w:rPr>
                      <w:rFonts w:hint="eastAsia" w:ascii="Times New Roman" w:hAnsi="Times New Roman" w:eastAsia="宋体"/>
                      <w:color w:val="auto"/>
                      <w:szCs w:val="21"/>
                    </w:rPr>
                  </w:pPr>
                  <w:r>
                    <w:rPr>
                      <w:rFonts w:hint="eastAsia" w:ascii="Times New Roman" w:hAnsi="Times New Roman" w:eastAsia="宋体" w:cs="宋体"/>
                      <w:color w:val="auto"/>
                      <w:sz w:val="21"/>
                      <w:szCs w:val="21"/>
                      <w:highlight w:val="none"/>
                      <w:lang w:val="en-US" w:eastAsia="zh-CN"/>
                    </w:rPr>
                    <w:t>2.</w:t>
                  </w:r>
                  <w:r>
                    <w:rPr>
                      <w:rFonts w:hint="eastAsia" w:ascii="Times New Roman" w:hAnsi="Times New Roman" w:eastAsia="宋体"/>
                      <w:color w:val="auto"/>
                      <w:szCs w:val="21"/>
                    </w:rPr>
                    <w:t>具有数据安全服务能力评定资格证书，得</w:t>
                  </w:r>
                  <w:r>
                    <w:rPr>
                      <w:rFonts w:hint="eastAsia" w:ascii="Times New Roman" w:hAnsi="Times New Roman" w:eastAsia="宋体"/>
                      <w:color w:val="auto"/>
                      <w:szCs w:val="21"/>
                      <w:lang w:val="en-US" w:eastAsia="zh-CN"/>
                    </w:rPr>
                    <w:t>2.5</w:t>
                  </w:r>
                  <w:r>
                    <w:rPr>
                      <w:rFonts w:hint="eastAsia" w:ascii="Times New Roman" w:hAnsi="Times New Roman" w:eastAsia="宋体"/>
                      <w:color w:val="auto"/>
                      <w:szCs w:val="21"/>
                    </w:rPr>
                    <w:t>分。</w:t>
                  </w:r>
                </w:p>
                <w:p w14:paraId="141A4DCD">
                  <w:pPr>
                    <w:keepNext w:val="0"/>
                    <w:keepLines w:val="0"/>
                    <w:pageBreakBefore w:val="0"/>
                    <w:widowControl/>
                    <w:numPr>
                      <w:ilvl w:val="0"/>
                      <w:numId w:val="0"/>
                    </w:numPr>
                    <w:kinsoku/>
                    <w:wordWrap/>
                    <w:overflowPunct/>
                    <w:topLinePunct w:val="0"/>
                    <w:bidi w:val="0"/>
                    <w:adjustRightInd/>
                    <w:snapToGrid/>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二、</w:t>
                  </w:r>
                  <w:r>
                    <w:rPr>
                      <w:rFonts w:hint="eastAsia" w:ascii="Times New Roman" w:hAnsi="Times New Roman" w:eastAsia="宋体" w:cs="宋体"/>
                      <w:color w:val="auto"/>
                      <w:kern w:val="0"/>
                      <w:szCs w:val="21"/>
                      <w:highlight w:val="none"/>
                    </w:rPr>
                    <w:t>评分</w:t>
                  </w:r>
                  <w:r>
                    <w:rPr>
                      <w:rFonts w:hint="eastAsia" w:ascii="Times New Roman" w:hAnsi="Times New Roman" w:eastAsia="宋体" w:cs="宋体"/>
                      <w:color w:val="auto"/>
                      <w:kern w:val="0"/>
                      <w:szCs w:val="21"/>
                      <w:highlight w:val="none"/>
                      <w:lang w:val="en-US" w:eastAsia="zh-CN"/>
                    </w:rPr>
                    <w:t>依据</w:t>
                  </w:r>
                </w:p>
                <w:p w14:paraId="6D95C8B9">
                  <w:pPr>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default"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sz w:val="21"/>
                      <w:szCs w:val="21"/>
                      <w:highlight w:val="none"/>
                      <w:lang w:val="en-US" w:eastAsia="zh-CN"/>
                    </w:rPr>
                    <w:t>1.要求提供有效证明资料作为得分依据</w:t>
                  </w:r>
                  <w:r>
                    <w:rPr>
                      <w:rFonts w:hint="eastAsia" w:ascii="Times New Roman" w:hAnsi="Times New Roman" w:eastAsia="宋体" w:cs="宋体"/>
                      <w:color w:val="auto"/>
                      <w:kern w:val="0"/>
                      <w:szCs w:val="21"/>
                      <w:highlight w:val="none"/>
                      <w:lang w:val="en-US" w:eastAsia="zh-CN"/>
                    </w:rPr>
                    <w:t>。涉及认证证书的，提供投标人认证证书扫描件；涉及获奖荣誉的，提供</w:t>
                  </w:r>
                  <w:r>
                    <w:rPr>
                      <w:rFonts w:hint="default" w:ascii="Times New Roman" w:hAnsi="Times New Roman" w:eastAsia="宋体" w:cs="宋体"/>
                      <w:color w:val="auto"/>
                      <w:kern w:val="0"/>
                      <w:szCs w:val="21"/>
                      <w:highlight w:val="none"/>
                      <w:lang w:val="en-US" w:eastAsia="zh-CN"/>
                    </w:rPr>
                    <w:t>获奖荣誉证书</w:t>
                  </w:r>
                  <w:r>
                    <w:rPr>
                      <w:rFonts w:hint="eastAsia" w:ascii="Times New Roman" w:hAnsi="Times New Roman" w:eastAsia="宋体" w:cs="宋体"/>
                      <w:color w:val="auto"/>
                      <w:kern w:val="0"/>
                      <w:szCs w:val="21"/>
                      <w:highlight w:val="none"/>
                      <w:lang w:val="en-US" w:eastAsia="zh-CN"/>
                    </w:rPr>
                    <w:t>或</w:t>
                  </w:r>
                  <w:r>
                    <w:rPr>
                      <w:rFonts w:hint="default" w:ascii="Times New Roman" w:hAnsi="Times New Roman" w:eastAsia="宋体" w:cs="宋体"/>
                      <w:color w:val="auto"/>
                      <w:kern w:val="0"/>
                      <w:szCs w:val="21"/>
                      <w:highlight w:val="none"/>
                      <w:lang w:val="en-US" w:eastAsia="zh-CN"/>
                    </w:rPr>
                    <w:t>奖状奖牌奖杯或颁奖仪式现场照片或主办</w:t>
                  </w:r>
                  <w:r>
                    <w:rPr>
                      <w:rFonts w:hint="eastAsia" w:ascii="Times New Roman" w:hAnsi="Times New Roman" w:eastAsia="宋体" w:cs="宋体"/>
                      <w:color w:val="auto"/>
                      <w:kern w:val="0"/>
                      <w:szCs w:val="21"/>
                      <w:highlight w:val="none"/>
                      <w:lang w:val="en-US" w:eastAsia="zh-CN"/>
                    </w:rPr>
                    <w:t>单位</w:t>
                  </w:r>
                  <w:r>
                    <w:rPr>
                      <w:rFonts w:hint="default" w:ascii="Times New Roman" w:hAnsi="Times New Roman" w:eastAsia="宋体" w:cs="宋体"/>
                      <w:color w:val="auto"/>
                      <w:kern w:val="0"/>
                      <w:szCs w:val="21"/>
                      <w:highlight w:val="none"/>
                      <w:lang w:val="en-US" w:eastAsia="zh-CN"/>
                    </w:rPr>
                    <w:t>官方网站截图</w:t>
                  </w:r>
                  <w:r>
                    <w:rPr>
                      <w:rFonts w:hint="eastAsia" w:ascii="Times New Roman" w:hAnsi="Times New Roman" w:eastAsia="宋体" w:cs="宋体"/>
                      <w:color w:val="auto"/>
                      <w:kern w:val="0"/>
                      <w:szCs w:val="21"/>
                      <w:highlight w:val="none"/>
                      <w:lang w:val="en-US" w:eastAsia="zh-CN"/>
                    </w:rPr>
                    <w:t>等获奖</w:t>
                  </w:r>
                  <w:r>
                    <w:rPr>
                      <w:rFonts w:hint="default" w:ascii="Times New Roman" w:hAnsi="Times New Roman" w:eastAsia="宋体" w:cs="宋体"/>
                      <w:color w:val="auto"/>
                      <w:kern w:val="0"/>
                      <w:szCs w:val="21"/>
                      <w:highlight w:val="none"/>
                      <w:lang w:val="en-US" w:eastAsia="zh-CN"/>
                    </w:rPr>
                    <w:t>证明材料，并加盖投标人公章。</w:t>
                  </w:r>
                </w:p>
                <w:p w14:paraId="5B7ACCA8">
                  <w:pPr>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2.</w:t>
                  </w:r>
                  <w:r>
                    <w:rPr>
                      <w:rFonts w:hint="eastAsia" w:ascii="Times New Roman" w:hAnsi="Times New Roman" w:eastAsia="宋体" w:cs="宋体"/>
                      <w:color w:val="auto"/>
                      <w:kern w:val="0"/>
                      <w:szCs w:val="21"/>
                      <w:highlight w:val="none"/>
                      <w:lang w:val="en-US" w:eastAsia="zh-CN"/>
                    </w:rPr>
                    <w:t>以上材料</w:t>
                  </w:r>
                  <w:r>
                    <w:rPr>
                      <w:rFonts w:hint="eastAsia" w:ascii="Times New Roman" w:hAnsi="Times New Roman" w:eastAsia="宋体" w:cs="宋体"/>
                      <w:color w:val="auto"/>
                      <w:kern w:val="0"/>
                      <w:szCs w:val="21"/>
                      <w:highlight w:val="none"/>
                      <w:lang w:eastAsia="zh-CN"/>
                    </w:rPr>
                    <w:t>均要求提供扫描件或官方网站截图</w:t>
                  </w:r>
                  <w:r>
                    <w:rPr>
                      <w:rFonts w:hint="eastAsia" w:ascii="Times New Roman" w:hAnsi="Times New Roman" w:eastAsia="宋体" w:cs="宋体"/>
                      <w:color w:val="auto"/>
                      <w:kern w:val="0"/>
                      <w:szCs w:val="21"/>
                      <w:highlight w:val="none"/>
                      <w:lang w:val="en-US" w:eastAsia="zh-CN"/>
                    </w:rPr>
                    <w:t>并</w:t>
                  </w:r>
                  <w:r>
                    <w:rPr>
                      <w:rFonts w:hint="default" w:ascii="Times New Roman" w:hAnsi="Times New Roman" w:eastAsia="宋体" w:cs="宋体"/>
                      <w:color w:val="auto"/>
                      <w:sz w:val="21"/>
                      <w:szCs w:val="21"/>
                      <w:highlight w:val="none"/>
                      <w:lang w:val="en-US" w:eastAsia="zh-CN"/>
                    </w:rPr>
                    <w:t>附带官方网站链接</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lang w:val="en-US" w:eastAsia="zh-CN"/>
                    </w:rPr>
                    <w:t>原件备查</w:t>
                  </w:r>
                  <w:r>
                    <w:rPr>
                      <w:rFonts w:hint="eastAsia" w:ascii="Times New Roman" w:hAnsi="Times New Roman" w:eastAsia="宋体" w:cs="宋体"/>
                      <w:color w:val="auto"/>
                      <w:kern w:val="0"/>
                      <w:szCs w:val="21"/>
                      <w:highlight w:val="none"/>
                      <w:lang w:eastAsia="zh-CN"/>
                    </w:rPr>
                    <w:t>。</w:t>
                  </w:r>
                  <w:r>
                    <w:rPr>
                      <w:rFonts w:hint="default" w:ascii="Times New Roman" w:hAnsi="Times New Roman" w:eastAsia="宋体" w:cs="宋体"/>
                      <w:color w:val="auto"/>
                      <w:sz w:val="21"/>
                      <w:szCs w:val="21"/>
                      <w:highlight w:val="none"/>
                      <w:lang w:val="en-US" w:eastAsia="zh-CN"/>
                    </w:rPr>
                    <w:t>评分中出现无证明资料或专家无法凭所提供资料判断是否得分的情况，一律作不得分处理。</w:t>
                  </w:r>
                </w:p>
              </w:tc>
            </w:tr>
            <w:tr w14:paraId="4DBEDC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vMerge w:val="continue"/>
                  <w:tcBorders>
                    <w:tl2br w:val="nil"/>
                    <w:tr2bl w:val="nil"/>
                  </w:tcBorders>
                  <w:vAlign w:val="center"/>
                </w:tcPr>
                <w:p w14:paraId="275BD293">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p>
              </w:tc>
              <w:tc>
                <w:tcPr>
                  <w:tcW w:w="275" w:type="pct"/>
                  <w:tcBorders>
                    <w:tl2br w:val="nil"/>
                    <w:tr2bl w:val="nil"/>
                  </w:tcBorders>
                  <w:shd w:val="clear" w:color="auto" w:fill="auto"/>
                  <w:vAlign w:val="center"/>
                </w:tcPr>
                <w:p w14:paraId="2A219E9E">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2</w:t>
                  </w:r>
                </w:p>
              </w:tc>
              <w:tc>
                <w:tcPr>
                  <w:tcW w:w="435" w:type="pct"/>
                  <w:tcBorders>
                    <w:tl2br w:val="nil"/>
                    <w:tr2bl w:val="nil"/>
                  </w:tcBorders>
                  <w:shd w:val="clear" w:color="auto" w:fill="auto"/>
                  <w:vAlign w:val="center"/>
                </w:tcPr>
                <w:p w14:paraId="35876A4F">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投标人同类项目业绩情况</w:t>
                  </w:r>
                </w:p>
              </w:tc>
              <w:tc>
                <w:tcPr>
                  <w:tcW w:w="292" w:type="pct"/>
                  <w:tcBorders>
                    <w:tl2br w:val="nil"/>
                    <w:tr2bl w:val="nil"/>
                  </w:tcBorders>
                  <w:shd w:val="clear" w:color="auto" w:fill="auto"/>
                  <w:vAlign w:val="center"/>
                </w:tcPr>
                <w:p w14:paraId="7E71BC7A">
                  <w:pPr>
                    <w:keepNext w:val="0"/>
                    <w:keepLines w:val="0"/>
                    <w:pageBreakBefore w:val="0"/>
                    <w:widowControl/>
                    <w:kinsoku/>
                    <w:wordWrap/>
                    <w:overflowPunct/>
                    <w:topLinePunct w:val="0"/>
                    <w:bidi w:val="0"/>
                    <w:adjustRightInd/>
                    <w:snapToGrid/>
                    <w:ind w:left="0" w:leftChars="0"/>
                    <w:jc w:val="center"/>
                    <w:textAlignment w:val="auto"/>
                    <w:rPr>
                      <w:rFonts w:hint="default"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8</w:t>
                  </w:r>
                </w:p>
              </w:tc>
              <w:tc>
                <w:tcPr>
                  <w:tcW w:w="3721" w:type="pct"/>
                  <w:tcBorders>
                    <w:tl2br w:val="nil"/>
                    <w:tr2bl w:val="nil"/>
                  </w:tcBorders>
                  <w:shd w:val="clear" w:color="auto" w:fill="auto"/>
                  <w:vAlign w:val="center"/>
                </w:tcPr>
                <w:p w14:paraId="71F15B70">
                  <w:pPr>
                    <w:keepNext w:val="0"/>
                    <w:keepLines w:val="0"/>
                    <w:pageBreakBefore w:val="0"/>
                    <w:widowControl/>
                    <w:numPr>
                      <w:ilvl w:val="0"/>
                      <w:numId w:val="0"/>
                    </w:numPr>
                    <w:kinsoku/>
                    <w:wordWrap/>
                    <w:overflowPunct/>
                    <w:topLinePunct w:val="0"/>
                    <w:bidi w:val="0"/>
                    <w:adjustRightInd/>
                    <w:snapToGrid/>
                    <w:jc w:val="left"/>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一、</w:t>
                  </w:r>
                  <w:r>
                    <w:rPr>
                      <w:rFonts w:hint="eastAsia" w:ascii="Times New Roman" w:hAnsi="Times New Roman" w:eastAsia="宋体" w:cs="宋体"/>
                      <w:color w:val="auto"/>
                      <w:kern w:val="0"/>
                      <w:szCs w:val="21"/>
                      <w:highlight w:val="none"/>
                    </w:rPr>
                    <w:t>评分内容</w:t>
                  </w:r>
                </w:p>
                <w:p w14:paraId="144056D6">
                  <w:pPr>
                    <w:keepNext w:val="0"/>
                    <w:keepLines w:val="0"/>
                    <w:pageBreakBefore w:val="0"/>
                    <w:widowControl/>
                    <w:numPr>
                      <w:ilvl w:val="0"/>
                      <w:numId w:val="0"/>
                    </w:numPr>
                    <w:kinsoku/>
                    <w:wordWrap/>
                    <w:overflowPunct/>
                    <w:topLinePunct w:val="0"/>
                    <w:bidi w:val="0"/>
                    <w:adjustRightInd/>
                    <w:snapToGrid/>
                    <w:ind w:left="0" w:leftChars="0"/>
                    <w:jc w:val="both"/>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投标人近</w:t>
                  </w:r>
                  <w:r>
                    <w:rPr>
                      <w:rFonts w:hint="eastAsia" w:ascii="Times New Roman" w:hAnsi="Times New Roman" w:eastAsia="宋体" w:cs="宋体"/>
                      <w:color w:val="auto"/>
                      <w:kern w:val="0"/>
                      <w:szCs w:val="21"/>
                      <w:highlight w:val="none"/>
                      <w:lang w:val="en-US" w:eastAsia="zh-CN"/>
                    </w:rPr>
                    <w:t>5</w:t>
                  </w:r>
                  <w:r>
                    <w:rPr>
                      <w:rFonts w:hint="eastAsia" w:ascii="Times New Roman" w:hAnsi="Times New Roman" w:eastAsia="宋体" w:cs="宋体"/>
                      <w:color w:val="auto"/>
                      <w:kern w:val="0"/>
                      <w:szCs w:val="21"/>
                      <w:highlight w:val="none"/>
                    </w:rPr>
                    <w:t>年（自202</w:t>
                  </w:r>
                  <w:r>
                    <w:rPr>
                      <w:rFonts w:hint="eastAsia" w:ascii="Times New Roman" w:hAnsi="Times New Roman" w:eastAsia="宋体" w:cs="宋体"/>
                      <w:color w:val="auto"/>
                      <w:kern w:val="0"/>
                      <w:szCs w:val="21"/>
                      <w:highlight w:val="none"/>
                      <w:lang w:val="en-US" w:eastAsia="zh-CN"/>
                    </w:rPr>
                    <w:t>1</w:t>
                  </w:r>
                  <w:r>
                    <w:rPr>
                      <w:rFonts w:hint="eastAsia" w:ascii="Times New Roman" w:hAnsi="Times New Roman" w:eastAsia="宋体" w:cs="宋体"/>
                      <w:color w:val="auto"/>
                      <w:kern w:val="0"/>
                      <w:szCs w:val="21"/>
                      <w:highlight w:val="none"/>
                    </w:rPr>
                    <w:t>年</w:t>
                  </w:r>
                  <w:r>
                    <w:rPr>
                      <w:rFonts w:hint="eastAsia" w:ascii="Times New Roman" w:hAnsi="Times New Roman" w:eastAsia="宋体" w:cs="宋体"/>
                      <w:color w:val="auto"/>
                      <w:kern w:val="0"/>
                      <w:szCs w:val="21"/>
                      <w:highlight w:val="none"/>
                      <w:lang w:val="en-US" w:eastAsia="zh-CN"/>
                    </w:rPr>
                    <w:t>3</w:t>
                  </w:r>
                  <w:r>
                    <w:rPr>
                      <w:rFonts w:hint="eastAsia" w:ascii="Times New Roman" w:hAnsi="Times New Roman" w:eastAsia="宋体" w:cs="宋体"/>
                      <w:color w:val="auto"/>
                      <w:kern w:val="0"/>
                      <w:szCs w:val="21"/>
                      <w:highlight w:val="none"/>
                    </w:rPr>
                    <w:t>月1日以来，以合同签订时间为准）具有以下项目经验：</w:t>
                  </w:r>
                </w:p>
                <w:p w14:paraId="17A05C77">
                  <w:pPr>
                    <w:keepNext w:val="0"/>
                    <w:keepLines w:val="0"/>
                    <w:pageBreakBefore w:val="0"/>
                    <w:widowControl/>
                    <w:numPr>
                      <w:ilvl w:val="0"/>
                      <w:numId w:val="0"/>
                    </w:numPr>
                    <w:kinsoku/>
                    <w:wordWrap/>
                    <w:overflowPunct/>
                    <w:topLinePunct w:val="0"/>
                    <w:bidi w:val="0"/>
                    <w:adjustRightInd/>
                    <w:snapToGrid/>
                    <w:ind w:left="0" w:leftChars="0"/>
                    <w:jc w:val="both"/>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1.</w:t>
                  </w:r>
                  <w:r>
                    <w:rPr>
                      <w:rFonts w:hint="eastAsia" w:ascii="Times New Roman" w:hAnsi="Times New Roman" w:eastAsia="宋体" w:cs="宋体"/>
                      <w:color w:val="auto"/>
                      <w:kern w:val="0"/>
                      <w:szCs w:val="21"/>
                      <w:highlight w:val="none"/>
                    </w:rPr>
                    <w:t>具有党政机关或事业单位的商用密码应用安全性评估服务项目业绩的，每提供1个得</w:t>
                  </w:r>
                  <w:r>
                    <w:rPr>
                      <w:rFonts w:hint="eastAsia" w:ascii="Times New Roman" w:hAnsi="Times New Roman" w:eastAsia="宋体" w:cs="宋体"/>
                      <w:color w:val="auto"/>
                      <w:kern w:val="0"/>
                      <w:szCs w:val="21"/>
                      <w:highlight w:val="none"/>
                      <w:lang w:val="en-US" w:eastAsia="zh-CN"/>
                    </w:rPr>
                    <w:t>2</w:t>
                  </w:r>
                  <w:r>
                    <w:rPr>
                      <w:rFonts w:hint="eastAsia" w:ascii="Times New Roman" w:hAnsi="Times New Roman" w:eastAsia="宋体" w:cs="宋体"/>
                      <w:color w:val="auto"/>
                      <w:kern w:val="0"/>
                      <w:szCs w:val="21"/>
                      <w:highlight w:val="none"/>
                    </w:rPr>
                    <w:t>分，</w:t>
                  </w:r>
                  <w:r>
                    <w:rPr>
                      <w:rFonts w:hint="eastAsia" w:ascii="Times New Roman" w:hAnsi="Times New Roman" w:eastAsia="宋体" w:cs="宋体"/>
                      <w:color w:val="auto"/>
                      <w:kern w:val="0"/>
                      <w:szCs w:val="21"/>
                      <w:highlight w:val="none"/>
                      <w:lang w:eastAsia="zh-CN"/>
                    </w:rPr>
                    <w:t>此项最高得</w:t>
                  </w:r>
                  <w:r>
                    <w:rPr>
                      <w:rFonts w:hint="eastAsia" w:ascii="Times New Roman" w:hAnsi="Times New Roman" w:eastAsia="宋体" w:cs="宋体"/>
                      <w:color w:val="auto"/>
                      <w:kern w:val="0"/>
                      <w:szCs w:val="21"/>
                      <w:highlight w:val="none"/>
                      <w:lang w:val="en-US" w:eastAsia="zh-CN"/>
                    </w:rPr>
                    <w:t>4</w:t>
                  </w:r>
                  <w:r>
                    <w:rPr>
                      <w:rFonts w:hint="eastAsia" w:ascii="Times New Roman" w:hAnsi="Times New Roman" w:eastAsia="宋体" w:cs="宋体"/>
                      <w:color w:val="auto"/>
                      <w:kern w:val="0"/>
                      <w:szCs w:val="21"/>
                      <w:highlight w:val="none"/>
                    </w:rPr>
                    <w:t>分。</w:t>
                  </w:r>
                </w:p>
                <w:p w14:paraId="15F5E6C8">
                  <w:pPr>
                    <w:keepNext w:val="0"/>
                    <w:keepLines w:val="0"/>
                    <w:pageBreakBefore w:val="0"/>
                    <w:widowControl/>
                    <w:numPr>
                      <w:ilvl w:val="0"/>
                      <w:numId w:val="0"/>
                    </w:numPr>
                    <w:kinsoku/>
                    <w:wordWrap/>
                    <w:overflowPunct/>
                    <w:topLinePunct w:val="0"/>
                    <w:bidi w:val="0"/>
                    <w:adjustRightInd/>
                    <w:snapToGrid/>
                    <w:ind w:left="0" w:leftChars="0"/>
                    <w:jc w:val="both"/>
                    <w:textAlignment w:val="auto"/>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2.</w:t>
                  </w:r>
                  <w:r>
                    <w:rPr>
                      <w:rFonts w:hint="eastAsia" w:ascii="Times New Roman" w:hAnsi="Times New Roman" w:eastAsia="宋体" w:cs="宋体"/>
                      <w:color w:val="auto"/>
                      <w:kern w:val="0"/>
                      <w:szCs w:val="21"/>
                      <w:highlight w:val="none"/>
                    </w:rPr>
                    <w:t>具有党政机关或事业单位的等级保护测评</w:t>
                  </w:r>
                  <w:r>
                    <w:rPr>
                      <w:rFonts w:hint="eastAsia" w:ascii="Times New Roman" w:hAnsi="Times New Roman" w:eastAsia="宋体" w:cs="宋体"/>
                      <w:color w:val="auto"/>
                      <w:kern w:val="0"/>
                      <w:szCs w:val="21"/>
                      <w:highlight w:val="none"/>
                      <w:lang w:val="en-US" w:eastAsia="zh-CN"/>
                    </w:rPr>
                    <w:t>服务</w:t>
                  </w:r>
                  <w:r>
                    <w:rPr>
                      <w:rFonts w:hint="eastAsia" w:ascii="Times New Roman" w:hAnsi="Times New Roman" w:eastAsia="宋体" w:cs="宋体"/>
                      <w:color w:val="auto"/>
                      <w:kern w:val="0"/>
                      <w:szCs w:val="21"/>
                      <w:highlight w:val="none"/>
                    </w:rPr>
                    <w:t>项目业绩的，每提供1个得</w:t>
                  </w:r>
                  <w:r>
                    <w:rPr>
                      <w:rFonts w:hint="eastAsia" w:ascii="Times New Roman" w:hAnsi="Times New Roman" w:eastAsia="宋体" w:cs="宋体"/>
                      <w:color w:val="auto"/>
                      <w:kern w:val="0"/>
                      <w:szCs w:val="21"/>
                      <w:highlight w:val="none"/>
                      <w:lang w:val="en-US" w:eastAsia="zh-CN"/>
                    </w:rPr>
                    <w:t>2</w:t>
                  </w:r>
                  <w:r>
                    <w:rPr>
                      <w:rFonts w:hint="eastAsia" w:ascii="Times New Roman" w:hAnsi="Times New Roman" w:eastAsia="宋体" w:cs="宋体"/>
                      <w:color w:val="auto"/>
                      <w:kern w:val="0"/>
                      <w:szCs w:val="21"/>
                      <w:highlight w:val="none"/>
                    </w:rPr>
                    <w:t>分，</w:t>
                  </w:r>
                  <w:r>
                    <w:rPr>
                      <w:rFonts w:hint="eastAsia" w:ascii="Times New Roman" w:hAnsi="Times New Roman" w:eastAsia="宋体" w:cs="宋体"/>
                      <w:color w:val="auto"/>
                      <w:kern w:val="0"/>
                      <w:szCs w:val="21"/>
                      <w:highlight w:val="none"/>
                      <w:lang w:eastAsia="zh-CN"/>
                    </w:rPr>
                    <w:t>此项最高得</w:t>
                  </w:r>
                  <w:r>
                    <w:rPr>
                      <w:rFonts w:hint="eastAsia" w:ascii="Times New Roman" w:hAnsi="Times New Roman" w:eastAsia="宋体" w:cs="宋体"/>
                      <w:color w:val="auto"/>
                      <w:kern w:val="0"/>
                      <w:szCs w:val="21"/>
                      <w:highlight w:val="none"/>
                      <w:lang w:val="en-US" w:eastAsia="zh-CN"/>
                    </w:rPr>
                    <w:t>4</w:t>
                  </w:r>
                  <w:r>
                    <w:rPr>
                      <w:rFonts w:hint="eastAsia" w:ascii="Times New Roman" w:hAnsi="Times New Roman" w:eastAsia="宋体" w:cs="宋体"/>
                      <w:color w:val="auto"/>
                      <w:kern w:val="0"/>
                      <w:szCs w:val="21"/>
                      <w:highlight w:val="none"/>
                    </w:rPr>
                    <w:t>分。</w:t>
                  </w:r>
                </w:p>
                <w:p w14:paraId="4E630F25">
                  <w:pPr>
                    <w:keepNext w:val="0"/>
                    <w:keepLines w:val="0"/>
                    <w:pageBreakBefore w:val="0"/>
                    <w:widowControl/>
                    <w:numPr>
                      <w:ilvl w:val="0"/>
                      <w:numId w:val="0"/>
                    </w:numPr>
                    <w:kinsoku/>
                    <w:wordWrap/>
                    <w:overflowPunct/>
                    <w:topLinePunct w:val="0"/>
                    <w:bidi w:val="0"/>
                    <w:adjustRightInd/>
                    <w:snapToGrid/>
                    <w:jc w:val="both"/>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二、</w:t>
                  </w:r>
                  <w:r>
                    <w:rPr>
                      <w:rFonts w:hint="eastAsia" w:ascii="Times New Roman" w:hAnsi="Times New Roman" w:eastAsia="宋体" w:cs="宋体"/>
                      <w:color w:val="auto"/>
                      <w:kern w:val="0"/>
                      <w:szCs w:val="21"/>
                      <w:highlight w:val="none"/>
                    </w:rPr>
                    <w:t>评分</w:t>
                  </w:r>
                  <w:r>
                    <w:rPr>
                      <w:rFonts w:hint="eastAsia" w:ascii="Times New Roman" w:hAnsi="Times New Roman" w:eastAsia="宋体" w:cs="宋体"/>
                      <w:color w:val="auto"/>
                      <w:kern w:val="0"/>
                      <w:szCs w:val="21"/>
                      <w:highlight w:val="none"/>
                      <w:lang w:val="en-US" w:eastAsia="zh-CN"/>
                    </w:rPr>
                    <w:t>依据</w:t>
                  </w:r>
                </w:p>
                <w:p w14:paraId="2D3FE6F4">
                  <w:pPr>
                    <w:keepNext w:val="0"/>
                    <w:keepLines w:val="0"/>
                    <w:pageBreakBefore w:val="0"/>
                    <w:widowControl/>
                    <w:numPr>
                      <w:ilvl w:val="0"/>
                      <w:numId w:val="0"/>
                    </w:numPr>
                    <w:kinsoku/>
                    <w:wordWrap/>
                    <w:overflowPunct/>
                    <w:topLinePunct w:val="0"/>
                    <w:bidi w:val="0"/>
                    <w:adjustRightInd/>
                    <w:snapToGrid/>
                    <w:ind w:left="0" w:leftChars="0"/>
                    <w:jc w:val="both"/>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1.</w:t>
                  </w:r>
                  <w:r>
                    <w:rPr>
                      <w:rFonts w:hint="eastAsia" w:ascii="Times New Roman" w:hAnsi="Times New Roman" w:eastAsia="宋体" w:cs="宋体"/>
                      <w:color w:val="auto"/>
                      <w:kern w:val="0"/>
                      <w:szCs w:val="21"/>
                      <w:highlight w:val="none"/>
                    </w:rPr>
                    <w:t>要求同时提供合同关键信息作为得分依据，通过合同关键信息无法判断是否得分的，还须同时提供能证明得分的其它资料，如项目报告或合同</w:t>
                  </w:r>
                  <w:r>
                    <w:rPr>
                      <w:rFonts w:hint="eastAsia" w:ascii="Times New Roman" w:hAnsi="Times New Roman" w:eastAsia="宋体" w:cs="宋体"/>
                      <w:color w:val="auto"/>
                      <w:kern w:val="0"/>
                      <w:szCs w:val="21"/>
                      <w:highlight w:val="none"/>
                      <w:lang w:eastAsia="zh-CN"/>
                    </w:rPr>
                    <w:t>采购人</w:t>
                  </w:r>
                  <w:r>
                    <w:rPr>
                      <w:rFonts w:hint="eastAsia" w:ascii="Times New Roman" w:hAnsi="Times New Roman" w:eastAsia="宋体" w:cs="宋体"/>
                      <w:color w:val="auto"/>
                      <w:kern w:val="0"/>
                      <w:szCs w:val="21"/>
                      <w:highlight w:val="none"/>
                    </w:rPr>
                    <w:t>出具的证明文件等。</w:t>
                  </w:r>
                </w:p>
                <w:p w14:paraId="23178690">
                  <w:pPr>
                    <w:keepNext w:val="0"/>
                    <w:keepLines w:val="0"/>
                    <w:pageBreakBefore w:val="0"/>
                    <w:widowControl/>
                    <w:numPr>
                      <w:ilvl w:val="0"/>
                      <w:numId w:val="0"/>
                    </w:numPr>
                    <w:kinsoku/>
                    <w:wordWrap/>
                    <w:overflowPunct/>
                    <w:topLinePunct w:val="0"/>
                    <w:bidi w:val="0"/>
                    <w:adjustRightInd/>
                    <w:snapToGrid/>
                    <w:ind w:left="0" w:leftChars="0"/>
                    <w:jc w:val="both"/>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2.以上材料</w:t>
                  </w:r>
                  <w:r>
                    <w:rPr>
                      <w:rFonts w:hint="eastAsia" w:ascii="Times New Roman" w:hAnsi="Times New Roman" w:eastAsia="宋体" w:cs="宋体"/>
                      <w:color w:val="auto"/>
                      <w:kern w:val="0"/>
                      <w:szCs w:val="21"/>
                      <w:highlight w:val="none"/>
                      <w:lang w:eastAsia="zh-CN"/>
                    </w:rPr>
                    <w:t>均要求提供扫描件或官方网站截图</w:t>
                  </w:r>
                  <w:r>
                    <w:rPr>
                      <w:rFonts w:hint="eastAsia" w:ascii="Times New Roman" w:hAnsi="Times New Roman" w:eastAsia="宋体" w:cs="宋体"/>
                      <w:color w:val="auto"/>
                      <w:kern w:val="0"/>
                      <w:szCs w:val="21"/>
                      <w:highlight w:val="none"/>
                      <w:lang w:val="en-US" w:eastAsia="zh-CN"/>
                    </w:rPr>
                    <w:t>并</w:t>
                  </w:r>
                  <w:r>
                    <w:rPr>
                      <w:rFonts w:hint="default" w:ascii="Times New Roman" w:hAnsi="Times New Roman" w:eastAsia="宋体" w:cs="宋体"/>
                      <w:color w:val="auto"/>
                      <w:sz w:val="21"/>
                      <w:szCs w:val="21"/>
                      <w:highlight w:val="none"/>
                      <w:lang w:val="en-US" w:eastAsia="zh-CN"/>
                    </w:rPr>
                    <w:t>附带官方网站链接</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lang w:val="en-US" w:eastAsia="zh-CN"/>
                    </w:rPr>
                    <w:t>原件备查</w:t>
                  </w:r>
                  <w:r>
                    <w:rPr>
                      <w:rFonts w:hint="eastAsia" w:ascii="Times New Roman" w:hAnsi="Times New Roman" w:eastAsia="宋体" w:cs="宋体"/>
                      <w:color w:val="auto"/>
                      <w:kern w:val="0"/>
                      <w:szCs w:val="21"/>
                      <w:highlight w:val="none"/>
                      <w:lang w:eastAsia="zh-CN"/>
                    </w:rPr>
                    <w:t>。</w:t>
                  </w:r>
                  <w:r>
                    <w:rPr>
                      <w:rFonts w:hint="default" w:ascii="Times New Roman" w:hAnsi="Times New Roman" w:eastAsia="宋体" w:cs="宋体"/>
                      <w:color w:val="auto"/>
                      <w:sz w:val="21"/>
                      <w:szCs w:val="21"/>
                      <w:highlight w:val="none"/>
                      <w:lang w:val="en-US" w:eastAsia="zh-CN"/>
                    </w:rPr>
                    <w:t>评分中出现无证明资料或专家无法凭所提供资料判断是否得分的情况，一律作不得分处理。</w:t>
                  </w:r>
                </w:p>
              </w:tc>
            </w:tr>
            <w:tr w14:paraId="0AF1A9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vMerge w:val="continue"/>
                  <w:tcBorders>
                    <w:tl2br w:val="nil"/>
                    <w:tr2bl w:val="nil"/>
                  </w:tcBorders>
                  <w:vAlign w:val="center"/>
                </w:tcPr>
                <w:p w14:paraId="53AA9DB4">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p>
              </w:tc>
              <w:tc>
                <w:tcPr>
                  <w:tcW w:w="275" w:type="pct"/>
                  <w:tcBorders>
                    <w:tl2br w:val="nil"/>
                    <w:tr2bl w:val="nil"/>
                  </w:tcBorders>
                  <w:shd w:val="clear" w:color="auto" w:fill="auto"/>
                  <w:vAlign w:val="center"/>
                </w:tcPr>
                <w:p w14:paraId="55C4E1CC">
                  <w:pPr>
                    <w:keepNext w:val="0"/>
                    <w:keepLines w:val="0"/>
                    <w:pageBreakBefore w:val="0"/>
                    <w:widowControl/>
                    <w:kinsoku/>
                    <w:wordWrap/>
                    <w:overflowPunct/>
                    <w:topLinePunct w:val="0"/>
                    <w:bidi w:val="0"/>
                    <w:adjustRightInd/>
                    <w:snapToGrid/>
                    <w:ind w:left="0" w:leftChars="0"/>
                    <w:jc w:val="center"/>
                    <w:textAlignment w:val="auto"/>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3</w:t>
                  </w:r>
                </w:p>
              </w:tc>
              <w:tc>
                <w:tcPr>
                  <w:tcW w:w="435" w:type="pct"/>
                  <w:tcBorders>
                    <w:tl2br w:val="nil"/>
                    <w:tr2bl w:val="nil"/>
                  </w:tcBorders>
                  <w:shd w:val="clear" w:color="auto" w:fill="auto"/>
                  <w:vAlign w:val="center"/>
                </w:tcPr>
                <w:p w14:paraId="6BDAC948">
                  <w:pPr>
                    <w:keepNext w:val="0"/>
                    <w:keepLines w:val="0"/>
                    <w:pageBreakBefore w:val="0"/>
                    <w:widowControl/>
                    <w:kinsoku/>
                    <w:wordWrap/>
                    <w:overflowPunct/>
                    <w:topLinePunct w:val="0"/>
                    <w:bidi w:val="0"/>
                    <w:adjustRightInd/>
                    <w:snapToGrid/>
                    <w:ind w:left="0" w:leftChars="0"/>
                    <w:jc w:val="center"/>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投标人获奖情况</w:t>
                  </w:r>
                </w:p>
              </w:tc>
              <w:tc>
                <w:tcPr>
                  <w:tcW w:w="292" w:type="pct"/>
                  <w:tcBorders>
                    <w:tl2br w:val="nil"/>
                    <w:tr2bl w:val="nil"/>
                  </w:tcBorders>
                  <w:shd w:val="clear" w:color="auto" w:fill="auto"/>
                  <w:vAlign w:val="center"/>
                </w:tcPr>
                <w:p w14:paraId="039DFE0A">
                  <w:pPr>
                    <w:keepNext w:val="0"/>
                    <w:keepLines w:val="0"/>
                    <w:pageBreakBefore w:val="0"/>
                    <w:widowControl/>
                    <w:kinsoku/>
                    <w:wordWrap/>
                    <w:overflowPunct/>
                    <w:topLinePunct w:val="0"/>
                    <w:bidi w:val="0"/>
                    <w:adjustRightInd/>
                    <w:snapToGrid/>
                    <w:ind w:left="0" w:leftChars="0"/>
                    <w:jc w:val="center"/>
                    <w:textAlignment w:val="auto"/>
                    <w:rPr>
                      <w:rFonts w:hint="default"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5</w:t>
                  </w:r>
                </w:p>
              </w:tc>
              <w:tc>
                <w:tcPr>
                  <w:tcW w:w="3721" w:type="pct"/>
                  <w:tcBorders>
                    <w:tl2br w:val="nil"/>
                    <w:tr2bl w:val="nil"/>
                  </w:tcBorders>
                  <w:shd w:val="clear" w:color="auto" w:fill="auto"/>
                  <w:vAlign w:val="center"/>
                </w:tcPr>
                <w:p w14:paraId="419584F9">
                  <w:pPr>
                    <w:keepNext w:val="0"/>
                    <w:keepLines w:val="0"/>
                    <w:pageBreakBefore w:val="0"/>
                    <w:widowControl/>
                    <w:numPr>
                      <w:ilvl w:val="0"/>
                      <w:numId w:val="0"/>
                    </w:numPr>
                    <w:kinsoku/>
                    <w:wordWrap/>
                    <w:overflowPunct/>
                    <w:topLinePunct w:val="0"/>
                    <w:bidi w:val="0"/>
                    <w:adjustRightInd/>
                    <w:snapToGrid/>
                    <w:jc w:val="left"/>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一、</w:t>
                  </w:r>
                  <w:r>
                    <w:rPr>
                      <w:rFonts w:hint="eastAsia" w:ascii="Times New Roman" w:hAnsi="Times New Roman" w:eastAsia="宋体" w:cs="宋体"/>
                      <w:color w:val="auto"/>
                      <w:kern w:val="0"/>
                      <w:szCs w:val="21"/>
                      <w:highlight w:val="none"/>
                    </w:rPr>
                    <w:t>评分内容</w:t>
                  </w:r>
                </w:p>
                <w:p w14:paraId="7D343786">
                  <w:pPr>
                    <w:keepNext w:val="0"/>
                    <w:keepLines w:val="0"/>
                    <w:pageBreakBefore w:val="0"/>
                    <w:widowControl/>
                    <w:numPr>
                      <w:ilvl w:val="0"/>
                      <w:numId w:val="0"/>
                    </w:numPr>
                    <w:kinsoku/>
                    <w:wordWrap/>
                    <w:overflowPunct/>
                    <w:topLinePunct w:val="0"/>
                    <w:bidi w:val="0"/>
                    <w:adjustRightInd/>
                    <w:snapToGrid/>
                    <w:ind w:left="0" w:leftChars="0"/>
                    <w:jc w:val="both"/>
                    <w:textAlignment w:val="auto"/>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获得省级及以上密码安全相关领域比赛奖项的，每提供一个得3分；.获得市级及以上密码安全相关领域比赛奖项的，每提供一个得2分。</w:t>
                  </w:r>
                  <w:r>
                    <w:rPr>
                      <w:rFonts w:hint="eastAsia" w:ascii="Times New Roman" w:hAnsi="Times New Roman" w:eastAsia="宋体" w:cs="宋体"/>
                      <w:color w:val="auto"/>
                      <w:kern w:val="0"/>
                      <w:szCs w:val="21"/>
                      <w:highlight w:val="none"/>
                      <w:lang w:eastAsia="zh-CN"/>
                    </w:rPr>
                    <w:t>此项最高得</w:t>
                  </w:r>
                  <w:r>
                    <w:rPr>
                      <w:rFonts w:hint="eastAsia" w:ascii="Times New Roman" w:hAnsi="Times New Roman" w:eastAsia="宋体" w:cs="宋体"/>
                      <w:color w:val="auto"/>
                      <w:kern w:val="0"/>
                      <w:szCs w:val="21"/>
                      <w:highlight w:val="none"/>
                      <w:lang w:val="en-US" w:eastAsia="zh-CN"/>
                    </w:rPr>
                    <w:t>5</w:t>
                  </w:r>
                  <w:r>
                    <w:rPr>
                      <w:rFonts w:hint="eastAsia" w:ascii="Times New Roman" w:hAnsi="Times New Roman" w:eastAsia="宋体" w:cs="宋体"/>
                      <w:color w:val="auto"/>
                      <w:kern w:val="0"/>
                      <w:szCs w:val="21"/>
                      <w:highlight w:val="none"/>
                    </w:rPr>
                    <w:t>分。</w:t>
                  </w:r>
                </w:p>
                <w:p w14:paraId="11112945">
                  <w:pPr>
                    <w:keepNext w:val="0"/>
                    <w:keepLines w:val="0"/>
                    <w:pageBreakBefore w:val="0"/>
                    <w:widowControl/>
                    <w:numPr>
                      <w:ilvl w:val="0"/>
                      <w:numId w:val="0"/>
                    </w:numPr>
                    <w:kinsoku/>
                    <w:wordWrap/>
                    <w:overflowPunct/>
                    <w:topLinePunct w:val="0"/>
                    <w:bidi w:val="0"/>
                    <w:adjustRightInd/>
                    <w:snapToGrid/>
                    <w:jc w:val="both"/>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二、</w:t>
                  </w:r>
                  <w:r>
                    <w:rPr>
                      <w:rFonts w:hint="eastAsia" w:ascii="Times New Roman" w:hAnsi="Times New Roman" w:eastAsia="宋体" w:cs="宋体"/>
                      <w:color w:val="auto"/>
                      <w:kern w:val="0"/>
                      <w:szCs w:val="21"/>
                      <w:highlight w:val="none"/>
                    </w:rPr>
                    <w:t>评分</w:t>
                  </w:r>
                  <w:r>
                    <w:rPr>
                      <w:rFonts w:hint="eastAsia" w:ascii="Times New Roman" w:hAnsi="Times New Roman" w:eastAsia="宋体" w:cs="宋体"/>
                      <w:color w:val="auto"/>
                      <w:kern w:val="0"/>
                      <w:szCs w:val="21"/>
                      <w:highlight w:val="none"/>
                      <w:lang w:val="en-US" w:eastAsia="zh-CN"/>
                    </w:rPr>
                    <w:t>依据</w:t>
                  </w:r>
                </w:p>
                <w:p w14:paraId="5C17ECA7">
                  <w:pPr>
                    <w:keepNext w:val="0"/>
                    <w:keepLines w:val="0"/>
                    <w:pageBreakBefore w:val="0"/>
                    <w:widowControl/>
                    <w:numPr>
                      <w:ilvl w:val="0"/>
                      <w:numId w:val="0"/>
                    </w:numPr>
                    <w:kinsoku/>
                    <w:wordWrap/>
                    <w:overflowPunct/>
                    <w:topLinePunct w:val="0"/>
                    <w:bidi w:val="0"/>
                    <w:adjustRightInd/>
                    <w:snapToGrid/>
                    <w:ind w:left="0" w:leftChars="0"/>
                    <w:jc w:val="both"/>
                    <w:textAlignment w:val="auto"/>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1.要求提供奖项照片或获奖（荣誉）证书或感谢信等有效证明材料作为得分依据。</w:t>
                  </w:r>
                </w:p>
                <w:p w14:paraId="51C5122B">
                  <w:pPr>
                    <w:keepNext w:val="0"/>
                    <w:keepLines w:val="0"/>
                    <w:pageBreakBefore w:val="0"/>
                    <w:widowControl/>
                    <w:numPr>
                      <w:ilvl w:val="0"/>
                      <w:numId w:val="0"/>
                    </w:numPr>
                    <w:kinsoku/>
                    <w:wordWrap/>
                    <w:overflowPunct/>
                    <w:topLinePunct w:val="0"/>
                    <w:bidi w:val="0"/>
                    <w:adjustRightInd/>
                    <w:snapToGrid/>
                    <w:ind w:left="0" w:leftChars="0"/>
                    <w:jc w:val="both"/>
                    <w:textAlignment w:val="auto"/>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2.以上材料</w:t>
                  </w:r>
                  <w:r>
                    <w:rPr>
                      <w:rFonts w:hint="eastAsia" w:ascii="Times New Roman" w:hAnsi="Times New Roman" w:eastAsia="宋体" w:cs="宋体"/>
                      <w:color w:val="auto"/>
                      <w:kern w:val="0"/>
                      <w:szCs w:val="21"/>
                      <w:highlight w:val="none"/>
                      <w:lang w:eastAsia="zh-CN"/>
                    </w:rPr>
                    <w:t>均要求提供扫描件，</w:t>
                  </w:r>
                  <w:r>
                    <w:rPr>
                      <w:rFonts w:hint="eastAsia" w:ascii="Times New Roman" w:hAnsi="Times New Roman" w:eastAsia="宋体" w:cs="宋体"/>
                      <w:color w:val="auto"/>
                      <w:kern w:val="0"/>
                      <w:szCs w:val="21"/>
                      <w:highlight w:val="none"/>
                      <w:lang w:val="en-US" w:eastAsia="zh-CN"/>
                    </w:rPr>
                    <w:t>原件备查</w:t>
                  </w:r>
                  <w:r>
                    <w:rPr>
                      <w:rFonts w:hint="eastAsia" w:ascii="Times New Roman" w:hAnsi="Times New Roman" w:eastAsia="宋体" w:cs="宋体"/>
                      <w:color w:val="auto"/>
                      <w:kern w:val="0"/>
                      <w:szCs w:val="21"/>
                      <w:highlight w:val="none"/>
                      <w:lang w:eastAsia="zh-CN"/>
                    </w:rPr>
                    <w:t>。</w:t>
                  </w:r>
                  <w:r>
                    <w:rPr>
                      <w:rFonts w:hint="default" w:ascii="Times New Roman" w:hAnsi="Times New Roman" w:eastAsia="宋体" w:cs="宋体"/>
                      <w:color w:val="auto"/>
                      <w:sz w:val="21"/>
                      <w:szCs w:val="21"/>
                      <w:highlight w:val="none"/>
                      <w:lang w:val="en-US" w:eastAsia="zh-CN"/>
                    </w:rPr>
                    <w:t>评分中出现无证明资料或专家无法凭所提供资料判断是否得分的情况，一律作不得分处理</w:t>
                  </w:r>
                  <w:r>
                    <w:rPr>
                      <w:rFonts w:hint="eastAsia" w:ascii="Times New Roman" w:hAnsi="Times New Roman" w:eastAsia="宋体" w:cs="宋体"/>
                      <w:color w:val="auto"/>
                      <w:kern w:val="0"/>
                      <w:szCs w:val="21"/>
                      <w:highlight w:val="none"/>
                      <w:lang w:val="en-US" w:eastAsia="zh-CN"/>
                    </w:rPr>
                    <w:t>。</w:t>
                  </w:r>
                </w:p>
              </w:tc>
            </w:tr>
            <w:tr w14:paraId="6713C9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vMerge w:val="continue"/>
                  <w:tcBorders>
                    <w:tl2br w:val="nil"/>
                    <w:tr2bl w:val="nil"/>
                  </w:tcBorders>
                  <w:vAlign w:val="center"/>
                </w:tcPr>
                <w:p w14:paraId="3AB13EA7">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p>
              </w:tc>
              <w:tc>
                <w:tcPr>
                  <w:tcW w:w="275" w:type="pct"/>
                  <w:tcBorders>
                    <w:tl2br w:val="nil"/>
                    <w:tr2bl w:val="nil"/>
                  </w:tcBorders>
                  <w:shd w:val="clear" w:color="auto" w:fill="auto"/>
                  <w:vAlign w:val="center"/>
                </w:tcPr>
                <w:p w14:paraId="6379CC1E">
                  <w:pPr>
                    <w:keepNext w:val="0"/>
                    <w:keepLines w:val="0"/>
                    <w:pageBreakBefore w:val="0"/>
                    <w:widowControl/>
                    <w:kinsoku/>
                    <w:wordWrap/>
                    <w:overflowPunct/>
                    <w:topLinePunct w:val="0"/>
                    <w:bidi w:val="0"/>
                    <w:adjustRightInd/>
                    <w:snapToGrid/>
                    <w:ind w:left="0" w:leftChars="0"/>
                    <w:jc w:val="center"/>
                    <w:textAlignment w:val="auto"/>
                    <w:rPr>
                      <w:rFonts w:hint="default" w:ascii="Times New Roman" w:hAnsi="Times New Roman" w:eastAsia="宋体" w:cs="宋体"/>
                      <w:color w:val="auto"/>
                      <w:kern w:val="0"/>
                      <w:sz w:val="21"/>
                      <w:szCs w:val="21"/>
                      <w:highlight w:val="none"/>
                      <w:lang w:val="en-US" w:eastAsia="zh-CN" w:bidi="ar-SA"/>
                    </w:rPr>
                  </w:pPr>
                  <w:r>
                    <w:rPr>
                      <w:rFonts w:hint="eastAsia" w:ascii="Times New Roman" w:hAnsi="Times New Roman" w:eastAsia="宋体" w:cs="宋体"/>
                      <w:color w:val="auto"/>
                      <w:kern w:val="0"/>
                      <w:sz w:val="21"/>
                      <w:szCs w:val="21"/>
                      <w:highlight w:val="none"/>
                      <w:lang w:val="en-US" w:eastAsia="zh-CN" w:bidi="ar-SA"/>
                    </w:rPr>
                    <w:t>4</w:t>
                  </w:r>
                </w:p>
              </w:tc>
              <w:tc>
                <w:tcPr>
                  <w:tcW w:w="435" w:type="pct"/>
                  <w:tcBorders>
                    <w:tl2br w:val="nil"/>
                    <w:tr2bl w:val="nil"/>
                  </w:tcBorders>
                  <w:shd w:val="clear" w:color="auto" w:fill="auto"/>
                  <w:vAlign w:val="center"/>
                </w:tcPr>
                <w:p w14:paraId="074E7E54">
                  <w:pPr>
                    <w:keepNext w:val="0"/>
                    <w:keepLines w:val="0"/>
                    <w:pageBreakBefore w:val="0"/>
                    <w:widowControl/>
                    <w:kinsoku/>
                    <w:wordWrap/>
                    <w:overflowPunct/>
                    <w:topLinePunct w:val="0"/>
                    <w:bidi w:val="0"/>
                    <w:adjustRightInd/>
                    <w:snapToGrid/>
                    <w:ind w:left="0" w:leftChars="0"/>
                    <w:jc w:val="center"/>
                    <w:textAlignment w:val="auto"/>
                    <w:rPr>
                      <w:rFonts w:hint="eastAsia" w:ascii="Times New Roman" w:hAnsi="Times New Roman" w:eastAsia="宋体" w:cs="宋体"/>
                      <w:color w:val="auto"/>
                      <w:kern w:val="0"/>
                      <w:sz w:val="21"/>
                      <w:szCs w:val="21"/>
                      <w:highlight w:val="none"/>
                      <w:lang w:val="en-US" w:eastAsia="zh-CN" w:bidi="ar-SA"/>
                    </w:rPr>
                  </w:pPr>
                  <w:r>
                    <w:rPr>
                      <w:rFonts w:hint="eastAsia" w:ascii="Times New Roman" w:hAnsi="Times New Roman" w:eastAsia="宋体" w:cs="宋体"/>
                      <w:color w:val="auto"/>
                      <w:kern w:val="0"/>
                      <w:szCs w:val="21"/>
                      <w:highlight w:val="none"/>
                    </w:rPr>
                    <w:t>投标人自主知识产权产品（创新、设计）情况</w:t>
                  </w:r>
                </w:p>
              </w:tc>
              <w:tc>
                <w:tcPr>
                  <w:tcW w:w="292" w:type="pct"/>
                  <w:tcBorders>
                    <w:tl2br w:val="nil"/>
                    <w:tr2bl w:val="nil"/>
                  </w:tcBorders>
                  <w:shd w:val="clear" w:color="auto" w:fill="auto"/>
                  <w:vAlign w:val="center"/>
                </w:tcPr>
                <w:p w14:paraId="2A9EC562">
                  <w:pPr>
                    <w:keepNext w:val="0"/>
                    <w:keepLines w:val="0"/>
                    <w:pageBreakBefore w:val="0"/>
                    <w:widowControl/>
                    <w:kinsoku/>
                    <w:wordWrap/>
                    <w:overflowPunct/>
                    <w:topLinePunct w:val="0"/>
                    <w:bidi w:val="0"/>
                    <w:adjustRightInd/>
                    <w:snapToGrid/>
                    <w:ind w:left="0" w:leftChars="0"/>
                    <w:jc w:val="center"/>
                    <w:textAlignment w:val="auto"/>
                    <w:rPr>
                      <w:rFonts w:hint="default" w:ascii="Times New Roman" w:hAnsi="Times New Roman" w:eastAsia="宋体" w:cs="宋体"/>
                      <w:color w:val="auto"/>
                      <w:kern w:val="0"/>
                      <w:sz w:val="21"/>
                      <w:szCs w:val="21"/>
                      <w:highlight w:val="none"/>
                      <w:lang w:val="en-US" w:eastAsia="zh-CN" w:bidi="ar-SA"/>
                    </w:rPr>
                  </w:pPr>
                  <w:r>
                    <w:rPr>
                      <w:rFonts w:hint="eastAsia" w:ascii="Times New Roman" w:hAnsi="Times New Roman" w:eastAsia="宋体" w:cs="宋体"/>
                      <w:color w:val="auto"/>
                      <w:kern w:val="0"/>
                      <w:szCs w:val="21"/>
                      <w:highlight w:val="none"/>
                      <w:lang w:val="en-US" w:eastAsia="zh-CN"/>
                    </w:rPr>
                    <w:t>8</w:t>
                  </w:r>
                </w:p>
              </w:tc>
              <w:tc>
                <w:tcPr>
                  <w:tcW w:w="3721" w:type="pct"/>
                  <w:tcBorders>
                    <w:tl2br w:val="nil"/>
                    <w:tr2bl w:val="nil"/>
                  </w:tcBorders>
                  <w:shd w:val="clear" w:color="auto" w:fill="auto"/>
                  <w:vAlign w:val="center"/>
                </w:tcPr>
                <w:p w14:paraId="771E5A78">
                  <w:pPr>
                    <w:keepNext w:val="0"/>
                    <w:keepLines w:val="0"/>
                    <w:pageBreakBefore w:val="0"/>
                    <w:widowControl/>
                    <w:numPr>
                      <w:ilvl w:val="0"/>
                      <w:numId w:val="0"/>
                    </w:numPr>
                    <w:kinsoku/>
                    <w:wordWrap/>
                    <w:overflowPunct/>
                    <w:topLinePunct w:val="0"/>
                    <w:bidi w:val="0"/>
                    <w:adjustRightInd/>
                    <w:snapToGrid/>
                    <w:jc w:val="left"/>
                    <w:textAlignment w:val="auto"/>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一、</w:t>
                  </w:r>
                  <w:r>
                    <w:rPr>
                      <w:rFonts w:hint="eastAsia" w:ascii="Times New Roman" w:hAnsi="Times New Roman" w:eastAsia="宋体" w:cs="宋体"/>
                      <w:color w:val="auto"/>
                      <w:kern w:val="0"/>
                      <w:szCs w:val="21"/>
                      <w:highlight w:val="none"/>
                    </w:rPr>
                    <w:t>评分内容</w:t>
                  </w:r>
                </w:p>
                <w:p w14:paraId="4276C65C">
                  <w:pPr>
                    <w:keepNext w:val="0"/>
                    <w:keepLines w:val="0"/>
                    <w:pageBreakBefore w:val="0"/>
                    <w:widowControl/>
                    <w:numPr>
                      <w:ilvl w:val="0"/>
                      <w:numId w:val="0"/>
                    </w:numPr>
                    <w:kinsoku/>
                    <w:wordWrap/>
                    <w:overflowPunct/>
                    <w:topLinePunct w:val="0"/>
                    <w:bidi w:val="0"/>
                    <w:adjustRightInd/>
                    <w:snapToGrid/>
                    <w:ind w:left="0" w:leftChars="0"/>
                    <w:jc w:val="both"/>
                    <w:textAlignment w:val="auto"/>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1.本项目投标截止之日前，获得的密码技术类相关专利和软件著作权，每提供1个专利或软件著作权得2分，此项最高得4分。</w:t>
                  </w:r>
                </w:p>
                <w:p w14:paraId="5C540D5C">
                  <w:pPr>
                    <w:keepNext w:val="0"/>
                    <w:keepLines w:val="0"/>
                    <w:pageBreakBefore w:val="0"/>
                    <w:widowControl/>
                    <w:numPr>
                      <w:ilvl w:val="0"/>
                      <w:numId w:val="0"/>
                    </w:numPr>
                    <w:kinsoku/>
                    <w:wordWrap/>
                    <w:overflowPunct/>
                    <w:topLinePunct w:val="0"/>
                    <w:bidi w:val="0"/>
                    <w:adjustRightInd/>
                    <w:snapToGrid/>
                    <w:ind w:left="0" w:leftChars="0"/>
                    <w:jc w:val="both"/>
                    <w:textAlignment w:val="auto"/>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2.作为起草单位参与起草已发布的密码领域国家标准或地方标准</w:t>
                  </w:r>
                  <w:bookmarkStart w:id="7" w:name="_GoBack"/>
                  <w:bookmarkEnd w:id="7"/>
                  <w:r>
                    <w:rPr>
                      <w:rFonts w:hint="eastAsia" w:ascii="Times New Roman" w:hAnsi="Times New Roman" w:eastAsia="宋体" w:cs="宋体"/>
                      <w:color w:val="auto"/>
                      <w:kern w:val="0"/>
                      <w:szCs w:val="21"/>
                      <w:highlight w:val="none"/>
                      <w:lang w:val="en-US" w:eastAsia="zh-CN"/>
                    </w:rPr>
                    <w:t>的，得4分。</w:t>
                  </w:r>
                </w:p>
                <w:p w14:paraId="2B954047">
                  <w:pPr>
                    <w:keepNext w:val="0"/>
                    <w:keepLines w:val="0"/>
                    <w:pageBreakBefore w:val="0"/>
                    <w:widowControl/>
                    <w:numPr>
                      <w:ilvl w:val="0"/>
                      <w:numId w:val="0"/>
                    </w:numPr>
                    <w:kinsoku/>
                    <w:wordWrap/>
                    <w:overflowPunct/>
                    <w:topLinePunct w:val="0"/>
                    <w:bidi w:val="0"/>
                    <w:adjustRightInd/>
                    <w:snapToGrid/>
                    <w:jc w:val="both"/>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二、</w:t>
                  </w:r>
                  <w:r>
                    <w:rPr>
                      <w:rFonts w:hint="eastAsia" w:ascii="Times New Roman" w:hAnsi="Times New Roman" w:eastAsia="宋体" w:cs="宋体"/>
                      <w:color w:val="auto"/>
                      <w:kern w:val="0"/>
                      <w:szCs w:val="21"/>
                      <w:highlight w:val="none"/>
                    </w:rPr>
                    <w:t>评分依据</w:t>
                  </w:r>
                </w:p>
                <w:p w14:paraId="055596A4">
                  <w:pPr>
                    <w:keepNext w:val="0"/>
                    <w:keepLines w:val="0"/>
                    <w:pageBreakBefore w:val="0"/>
                    <w:widowControl/>
                    <w:numPr>
                      <w:ilvl w:val="0"/>
                      <w:numId w:val="0"/>
                    </w:numPr>
                    <w:kinsoku/>
                    <w:wordWrap/>
                    <w:overflowPunct/>
                    <w:topLinePunct w:val="0"/>
                    <w:bidi w:val="0"/>
                    <w:adjustRightInd/>
                    <w:snapToGrid/>
                    <w:ind w:left="0" w:leftChars="0"/>
                    <w:jc w:val="both"/>
                    <w:textAlignment w:val="auto"/>
                    <w:rPr>
                      <w:rFonts w:hint="default" w:ascii="Times New Roman" w:hAnsi="Times New Roman" w:eastAsia="宋体" w:cs="宋体"/>
                      <w:color w:val="auto"/>
                      <w:kern w:val="0"/>
                      <w:szCs w:val="21"/>
                      <w:highlight w:val="none"/>
                      <w:lang w:val="en-US"/>
                    </w:rPr>
                  </w:pPr>
                  <w:r>
                    <w:rPr>
                      <w:rFonts w:hint="eastAsia" w:ascii="Times New Roman" w:hAnsi="Times New Roman" w:eastAsia="宋体" w:cs="宋体"/>
                      <w:color w:val="auto"/>
                      <w:kern w:val="0"/>
                      <w:szCs w:val="21"/>
                      <w:highlight w:val="none"/>
                    </w:rPr>
                    <w:t>1.</w:t>
                  </w:r>
                  <w:r>
                    <w:rPr>
                      <w:rFonts w:hint="eastAsia" w:ascii="Times New Roman" w:hAnsi="Times New Roman" w:eastAsia="宋体" w:cs="宋体"/>
                      <w:color w:val="auto"/>
                      <w:kern w:val="0"/>
                      <w:szCs w:val="21"/>
                      <w:highlight w:val="none"/>
                      <w:lang w:val="en-US" w:eastAsia="zh-CN"/>
                    </w:rPr>
                    <w:t>涉及专利和软件著作权，</w:t>
                  </w:r>
                  <w:r>
                    <w:rPr>
                      <w:rFonts w:hint="eastAsia" w:ascii="Times New Roman" w:hAnsi="Times New Roman" w:eastAsia="宋体" w:cs="宋体"/>
                      <w:color w:val="auto"/>
                      <w:kern w:val="0"/>
                      <w:szCs w:val="21"/>
                      <w:highlight w:val="none"/>
                    </w:rPr>
                    <w:t>要求提供有效的</w:t>
                  </w:r>
                  <w:r>
                    <w:rPr>
                      <w:rFonts w:hint="eastAsia" w:ascii="Times New Roman" w:hAnsi="Times New Roman" w:eastAsia="宋体" w:cs="宋体"/>
                      <w:color w:val="auto"/>
                      <w:kern w:val="0"/>
                      <w:szCs w:val="21"/>
                      <w:highlight w:val="none"/>
                      <w:lang w:val="en-US" w:eastAsia="zh-CN"/>
                    </w:rPr>
                    <w:t>产权（专利）证书等证明材料作为得分依据</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lang w:val="en-US" w:eastAsia="zh-CN"/>
                    </w:rPr>
                    <w:t>涉及密码领域国家标准或地方标准起草单位，要求提供参编确认函/邀请函等有效证明材料，以及已发布国家标准文本前言或起草单位页的扫描件作为得分依据</w:t>
                  </w:r>
                  <w:r>
                    <w:rPr>
                      <w:rFonts w:hint="eastAsia" w:ascii="Times New Roman" w:hAnsi="Times New Roman" w:eastAsia="宋体" w:cs="宋体"/>
                      <w:color w:val="auto"/>
                      <w:kern w:val="0"/>
                      <w:szCs w:val="21"/>
                      <w:highlight w:val="none"/>
                      <w:lang w:eastAsia="zh-CN"/>
                    </w:rPr>
                    <w:t>。</w:t>
                  </w:r>
                </w:p>
                <w:p w14:paraId="30DC9D91">
                  <w:pPr>
                    <w:keepNext w:val="0"/>
                    <w:keepLines w:val="0"/>
                    <w:pageBreakBefore w:val="0"/>
                    <w:widowControl/>
                    <w:numPr>
                      <w:ilvl w:val="0"/>
                      <w:numId w:val="0"/>
                    </w:numPr>
                    <w:kinsoku/>
                    <w:wordWrap/>
                    <w:overflowPunct/>
                    <w:topLinePunct w:val="0"/>
                    <w:bidi w:val="0"/>
                    <w:adjustRightInd/>
                    <w:snapToGrid/>
                    <w:ind w:left="0" w:leftChars="0" w:firstLine="0" w:firstLineChars="0"/>
                    <w:jc w:val="both"/>
                    <w:textAlignment w:val="auto"/>
                    <w:rPr>
                      <w:rFonts w:hint="eastAsia" w:ascii="Times New Roman" w:hAnsi="Times New Roman" w:eastAsia="宋体" w:cs="宋体"/>
                      <w:color w:val="auto"/>
                      <w:kern w:val="0"/>
                      <w:sz w:val="21"/>
                      <w:szCs w:val="21"/>
                      <w:highlight w:val="none"/>
                      <w:lang w:val="en-US" w:eastAsia="zh-CN" w:bidi="ar-SA"/>
                    </w:rPr>
                  </w:pPr>
                  <w:r>
                    <w:rPr>
                      <w:rFonts w:hint="eastAsia" w:ascii="Times New Roman" w:hAnsi="Times New Roman" w:eastAsia="宋体" w:cs="宋体"/>
                      <w:color w:val="auto"/>
                      <w:kern w:val="0"/>
                      <w:szCs w:val="21"/>
                      <w:highlight w:val="none"/>
                      <w:lang w:val="en-US" w:eastAsia="zh-CN"/>
                    </w:rPr>
                    <w:t>2.以上材料</w:t>
                  </w:r>
                  <w:r>
                    <w:rPr>
                      <w:rFonts w:hint="eastAsia" w:ascii="Times New Roman" w:hAnsi="Times New Roman" w:eastAsia="宋体" w:cs="宋体"/>
                      <w:color w:val="auto"/>
                      <w:kern w:val="0"/>
                      <w:szCs w:val="21"/>
                      <w:highlight w:val="none"/>
                      <w:lang w:eastAsia="zh-CN"/>
                    </w:rPr>
                    <w:t>均要求提供扫描件，</w:t>
                  </w:r>
                  <w:r>
                    <w:rPr>
                      <w:rFonts w:hint="eastAsia" w:ascii="Times New Roman" w:hAnsi="Times New Roman" w:eastAsia="宋体" w:cs="宋体"/>
                      <w:color w:val="auto"/>
                      <w:kern w:val="0"/>
                      <w:szCs w:val="21"/>
                      <w:highlight w:val="none"/>
                      <w:lang w:val="en-US" w:eastAsia="zh-CN"/>
                    </w:rPr>
                    <w:t>原件备查</w:t>
                  </w:r>
                  <w:r>
                    <w:rPr>
                      <w:rFonts w:hint="eastAsia" w:ascii="Times New Roman" w:hAnsi="Times New Roman" w:eastAsia="宋体" w:cs="宋体"/>
                      <w:color w:val="auto"/>
                      <w:kern w:val="0"/>
                      <w:szCs w:val="21"/>
                      <w:highlight w:val="none"/>
                      <w:lang w:eastAsia="zh-CN"/>
                    </w:rPr>
                    <w:t>。</w:t>
                  </w:r>
                  <w:r>
                    <w:rPr>
                      <w:rFonts w:hint="default" w:ascii="Times New Roman" w:hAnsi="Times New Roman" w:eastAsia="宋体" w:cs="宋体"/>
                      <w:color w:val="auto"/>
                      <w:sz w:val="21"/>
                      <w:szCs w:val="21"/>
                      <w:highlight w:val="none"/>
                      <w:lang w:val="en-US" w:eastAsia="zh-CN"/>
                    </w:rPr>
                    <w:t>评分中出现无证明资料或专家无法凭所提供资料判断是否得分的情况，一律作不得分处理。</w:t>
                  </w:r>
                </w:p>
              </w:tc>
            </w:tr>
            <w:tr w14:paraId="442D93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vMerge w:val="continue"/>
                  <w:tcBorders>
                    <w:tl2br w:val="nil"/>
                    <w:tr2bl w:val="nil"/>
                  </w:tcBorders>
                  <w:vAlign w:val="center"/>
                </w:tcPr>
                <w:p w14:paraId="5DFB9E3F">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p>
              </w:tc>
              <w:tc>
                <w:tcPr>
                  <w:tcW w:w="275" w:type="pct"/>
                  <w:tcBorders>
                    <w:tl2br w:val="nil"/>
                    <w:tr2bl w:val="nil"/>
                  </w:tcBorders>
                  <w:shd w:val="clear" w:color="auto" w:fill="auto"/>
                  <w:vAlign w:val="center"/>
                </w:tcPr>
                <w:p w14:paraId="0A29DFAE">
                  <w:pPr>
                    <w:keepNext w:val="0"/>
                    <w:keepLines w:val="0"/>
                    <w:pageBreakBefore w:val="0"/>
                    <w:widowControl/>
                    <w:kinsoku/>
                    <w:wordWrap/>
                    <w:overflowPunct/>
                    <w:topLinePunct w:val="0"/>
                    <w:bidi w:val="0"/>
                    <w:adjustRightInd/>
                    <w:snapToGrid/>
                    <w:ind w:left="0" w:leftChars="0"/>
                    <w:jc w:val="center"/>
                    <w:textAlignment w:val="auto"/>
                    <w:rPr>
                      <w:rFonts w:hint="default"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5</w:t>
                  </w:r>
                </w:p>
              </w:tc>
              <w:tc>
                <w:tcPr>
                  <w:tcW w:w="435" w:type="pct"/>
                  <w:tcBorders>
                    <w:tl2br w:val="nil"/>
                    <w:tr2bl w:val="nil"/>
                  </w:tcBorders>
                  <w:shd w:val="clear" w:color="auto" w:fill="auto"/>
                  <w:vAlign w:val="top"/>
                </w:tcPr>
                <w:p w14:paraId="4D2C89DB">
                  <w:pPr>
                    <w:keepNext w:val="0"/>
                    <w:keepLines w:val="0"/>
                    <w:pageBreakBefore w:val="0"/>
                    <w:widowControl/>
                    <w:kinsoku/>
                    <w:wordWrap/>
                    <w:overflowPunct/>
                    <w:topLinePunct w:val="0"/>
                    <w:bidi w:val="0"/>
                    <w:adjustRightInd/>
                    <w:snapToGrid/>
                    <w:ind w:left="0" w:leftChars="0"/>
                    <w:jc w:val="center"/>
                    <w:textAlignment w:val="auto"/>
                    <w:rPr>
                      <w:rFonts w:ascii="宋体" w:hAnsi="宋体" w:eastAsia="等线" w:cs="仿宋"/>
                      <w:color w:val="auto"/>
                      <w:kern w:val="2"/>
                      <w:sz w:val="21"/>
                      <w:szCs w:val="21"/>
                      <w:lang w:val="en-US" w:eastAsia="zh-CN" w:bidi="ar-SA"/>
                    </w:rPr>
                  </w:pPr>
                </w:p>
              </w:tc>
              <w:tc>
                <w:tcPr>
                  <w:tcW w:w="292" w:type="pct"/>
                  <w:tcBorders>
                    <w:tl2br w:val="nil"/>
                    <w:tr2bl w:val="nil"/>
                  </w:tcBorders>
                  <w:shd w:val="clear" w:color="auto" w:fill="auto"/>
                  <w:vAlign w:val="center"/>
                </w:tcPr>
                <w:p w14:paraId="632166F2">
                  <w:pPr>
                    <w:keepNext w:val="0"/>
                    <w:keepLines w:val="0"/>
                    <w:pageBreakBefore w:val="0"/>
                    <w:widowControl/>
                    <w:kinsoku/>
                    <w:wordWrap/>
                    <w:overflowPunct/>
                    <w:topLinePunct w:val="0"/>
                    <w:bidi w:val="0"/>
                    <w:adjustRightInd/>
                    <w:snapToGrid/>
                    <w:ind w:left="0" w:leftChars="0"/>
                    <w:jc w:val="center"/>
                    <w:textAlignment w:val="auto"/>
                    <w:rPr>
                      <w:rFonts w:hint="default" w:ascii="Times New Roman" w:hAnsi="Times New Roman" w:eastAsia="宋体" w:cs="宋体"/>
                      <w:color w:val="auto"/>
                      <w:kern w:val="0"/>
                      <w:szCs w:val="21"/>
                      <w:highlight w:val="none"/>
                      <w:lang w:val="en-US" w:eastAsia="zh-CN"/>
                    </w:rPr>
                  </w:pPr>
                </w:p>
              </w:tc>
              <w:tc>
                <w:tcPr>
                  <w:tcW w:w="3721" w:type="pct"/>
                  <w:tcBorders>
                    <w:tl2br w:val="nil"/>
                    <w:tr2bl w:val="nil"/>
                  </w:tcBorders>
                  <w:shd w:val="clear" w:color="auto" w:fill="auto"/>
                  <w:vAlign w:val="top"/>
                </w:tcPr>
                <w:p w14:paraId="27866A42">
                  <w:pPr>
                    <w:keepNext w:val="0"/>
                    <w:keepLines w:val="0"/>
                    <w:pageBreakBefore w:val="0"/>
                    <w:widowControl/>
                    <w:numPr>
                      <w:ilvl w:val="0"/>
                      <w:numId w:val="0"/>
                    </w:numPr>
                    <w:kinsoku/>
                    <w:wordWrap/>
                    <w:overflowPunct/>
                    <w:topLinePunct w:val="0"/>
                    <w:bidi w:val="0"/>
                    <w:adjustRightInd/>
                    <w:snapToGrid/>
                    <w:jc w:val="left"/>
                    <w:textAlignment w:val="auto"/>
                    <w:rPr>
                      <w:rFonts w:hint="eastAsia" w:ascii="Times New Roman" w:hAnsi="Times New Roman" w:eastAsia="宋体" w:cs="宋体"/>
                      <w:color w:val="auto"/>
                      <w:kern w:val="0"/>
                      <w:szCs w:val="21"/>
                      <w:highlight w:val="none"/>
                      <w:lang w:val="en-US" w:eastAsia="zh-CN"/>
                    </w:rPr>
                  </w:pPr>
                </w:p>
              </w:tc>
            </w:tr>
            <w:tr w14:paraId="4D90A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tcBorders>
                    <w:tl2br w:val="nil"/>
                    <w:tr2bl w:val="nil"/>
                  </w:tcBorders>
                  <w:shd w:val="clear" w:color="auto" w:fill="auto"/>
                  <w:vAlign w:val="center"/>
                </w:tcPr>
                <w:p w14:paraId="2D8183CF">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b/>
                      <w:bCs/>
                      <w:color w:val="auto"/>
                      <w:kern w:val="0"/>
                      <w:szCs w:val="21"/>
                      <w:highlight w:val="none"/>
                    </w:rPr>
                  </w:pPr>
                  <w:r>
                    <w:rPr>
                      <w:rFonts w:hint="eastAsia" w:ascii="Times New Roman" w:hAnsi="Times New Roman" w:eastAsia="宋体" w:cs="宋体"/>
                      <w:b/>
                      <w:bCs/>
                      <w:color w:val="auto"/>
                      <w:kern w:val="0"/>
                      <w:szCs w:val="21"/>
                      <w:highlight w:val="none"/>
                    </w:rPr>
                    <w:t>4</w:t>
                  </w:r>
                </w:p>
              </w:tc>
              <w:tc>
                <w:tcPr>
                  <w:tcW w:w="1004" w:type="pct"/>
                  <w:gridSpan w:val="3"/>
                  <w:tcBorders>
                    <w:tl2br w:val="nil"/>
                    <w:tr2bl w:val="nil"/>
                  </w:tcBorders>
                  <w:shd w:val="clear" w:color="auto" w:fill="auto"/>
                  <w:vAlign w:val="center"/>
                </w:tcPr>
                <w:p w14:paraId="11446054">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b/>
                      <w:bCs/>
                      <w:color w:val="auto"/>
                      <w:kern w:val="0"/>
                      <w:szCs w:val="21"/>
                      <w:highlight w:val="none"/>
                    </w:rPr>
                  </w:pPr>
                  <w:r>
                    <w:rPr>
                      <w:rFonts w:hint="eastAsia" w:ascii="Times New Roman" w:hAnsi="Times New Roman" w:eastAsia="宋体" w:cs="宋体"/>
                      <w:b/>
                      <w:bCs/>
                      <w:color w:val="auto"/>
                      <w:kern w:val="0"/>
                      <w:szCs w:val="21"/>
                      <w:highlight w:val="none"/>
                    </w:rPr>
                    <w:t>诚信情况</w:t>
                  </w:r>
                </w:p>
              </w:tc>
              <w:tc>
                <w:tcPr>
                  <w:tcW w:w="3721" w:type="pct"/>
                  <w:tcBorders>
                    <w:tl2br w:val="nil"/>
                    <w:tr2bl w:val="nil"/>
                  </w:tcBorders>
                  <w:shd w:val="clear" w:color="auto" w:fill="auto"/>
                  <w:vAlign w:val="center"/>
                </w:tcPr>
                <w:p w14:paraId="0607E761">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b/>
                      <w:bCs/>
                      <w:color w:val="auto"/>
                      <w:kern w:val="0"/>
                      <w:szCs w:val="21"/>
                      <w:highlight w:val="none"/>
                    </w:rPr>
                  </w:pPr>
                  <w:r>
                    <w:rPr>
                      <w:rFonts w:hint="eastAsia" w:ascii="Times New Roman" w:hAnsi="Times New Roman" w:eastAsia="宋体" w:cs="宋体"/>
                      <w:b/>
                      <w:bCs/>
                      <w:color w:val="auto"/>
                      <w:kern w:val="0"/>
                      <w:szCs w:val="21"/>
                      <w:highlight w:val="none"/>
                    </w:rPr>
                    <w:t>5</w:t>
                  </w:r>
                </w:p>
              </w:tc>
            </w:tr>
            <w:tr w14:paraId="50BD99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vMerge w:val="restart"/>
                  <w:tcBorders>
                    <w:tl2br w:val="nil"/>
                    <w:tr2bl w:val="nil"/>
                  </w:tcBorders>
                  <w:shd w:val="clear" w:color="auto" w:fill="auto"/>
                  <w:vAlign w:val="center"/>
                </w:tcPr>
                <w:p w14:paraId="03DDBDCC">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　</w:t>
                  </w:r>
                </w:p>
              </w:tc>
              <w:tc>
                <w:tcPr>
                  <w:tcW w:w="275" w:type="pct"/>
                  <w:tcBorders>
                    <w:tl2br w:val="nil"/>
                    <w:tr2bl w:val="nil"/>
                  </w:tcBorders>
                  <w:shd w:val="clear" w:color="auto" w:fill="auto"/>
                  <w:vAlign w:val="center"/>
                </w:tcPr>
                <w:p w14:paraId="1F84F6EE">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序号</w:t>
                  </w:r>
                </w:p>
              </w:tc>
              <w:tc>
                <w:tcPr>
                  <w:tcW w:w="435" w:type="pct"/>
                  <w:tcBorders>
                    <w:tl2br w:val="nil"/>
                    <w:tr2bl w:val="nil"/>
                  </w:tcBorders>
                  <w:shd w:val="clear" w:color="auto" w:fill="auto"/>
                  <w:vAlign w:val="center"/>
                </w:tcPr>
                <w:p w14:paraId="1EBF93FB">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评分因素</w:t>
                  </w:r>
                </w:p>
              </w:tc>
              <w:tc>
                <w:tcPr>
                  <w:tcW w:w="292" w:type="pct"/>
                  <w:tcBorders>
                    <w:tl2br w:val="nil"/>
                    <w:tr2bl w:val="nil"/>
                  </w:tcBorders>
                  <w:shd w:val="clear" w:color="auto" w:fill="auto"/>
                  <w:vAlign w:val="center"/>
                </w:tcPr>
                <w:p w14:paraId="62EBDD97">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权重</w:t>
                  </w:r>
                </w:p>
              </w:tc>
              <w:tc>
                <w:tcPr>
                  <w:tcW w:w="3721" w:type="pct"/>
                  <w:tcBorders>
                    <w:tl2br w:val="nil"/>
                    <w:tr2bl w:val="nil"/>
                  </w:tcBorders>
                  <w:shd w:val="clear" w:color="auto" w:fill="auto"/>
                  <w:vAlign w:val="center"/>
                </w:tcPr>
                <w:p w14:paraId="77D8CD5E">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评分准则</w:t>
                  </w:r>
                </w:p>
              </w:tc>
            </w:tr>
            <w:tr w14:paraId="4647EA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274" w:type="pct"/>
                  <w:vMerge w:val="continue"/>
                  <w:tcBorders>
                    <w:tl2br w:val="nil"/>
                    <w:tr2bl w:val="nil"/>
                  </w:tcBorders>
                  <w:vAlign w:val="center"/>
                </w:tcPr>
                <w:p w14:paraId="65D89FCE">
                  <w:pPr>
                    <w:keepNext w:val="0"/>
                    <w:keepLines w:val="0"/>
                    <w:pageBreakBefore w:val="0"/>
                    <w:widowControl/>
                    <w:kinsoku/>
                    <w:wordWrap/>
                    <w:overflowPunct/>
                    <w:topLinePunct w:val="0"/>
                    <w:bidi w:val="0"/>
                    <w:adjustRightInd/>
                    <w:snapToGrid/>
                    <w:ind w:left="0" w:leftChars="0"/>
                    <w:jc w:val="left"/>
                    <w:textAlignment w:val="auto"/>
                    <w:rPr>
                      <w:rFonts w:ascii="Times New Roman" w:hAnsi="Times New Roman" w:eastAsia="宋体" w:cs="宋体"/>
                      <w:color w:val="auto"/>
                      <w:kern w:val="0"/>
                      <w:szCs w:val="21"/>
                      <w:highlight w:val="none"/>
                    </w:rPr>
                  </w:pPr>
                </w:p>
              </w:tc>
              <w:tc>
                <w:tcPr>
                  <w:tcW w:w="275" w:type="pct"/>
                  <w:tcBorders>
                    <w:tl2br w:val="nil"/>
                    <w:tr2bl w:val="nil"/>
                  </w:tcBorders>
                  <w:shd w:val="clear" w:color="auto" w:fill="auto"/>
                  <w:vAlign w:val="center"/>
                </w:tcPr>
                <w:p w14:paraId="0E203B41">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1</w:t>
                  </w:r>
                </w:p>
              </w:tc>
              <w:tc>
                <w:tcPr>
                  <w:tcW w:w="435" w:type="pct"/>
                  <w:tcBorders>
                    <w:tl2br w:val="nil"/>
                    <w:tr2bl w:val="nil"/>
                  </w:tcBorders>
                  <w:shd w:val="clear" w:color="auto" w:fill="auto"/>
                  <w:vAlign w:val="center"/>
                </w:tcPr>
                <w:p w14:paraId="6091D3F5">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市财政局诚信管理情况</w:t>
                  </w:r>
                </w:p>
              </w:tc>
              <w:tc>
                <w:tcPr>
                  <w:tcW w:w="292" w:type="pct"/>
                  <w:tcBorders>
                    <w:tl2br w:val="nil"/>
                    <w:tr2bl w:val="nil"/>
                  </w:tcBorders>
                  <w:shd w:val="clear" w:color="auto" w:fill="auto"/>
                  <w:vAlign w:val="center"/>
                </w:tcPr>
                <w:p w14:paraId="421300A3">
                  <w:pPr>
                    <w:keepNext w:val="0"/>
                    <w:keepLines w:val="0"/>
                    <w:pageBreakBefore w:val="0"/>
                    <w:widowControl/>
                    <w:kinsoku/>
                    <w:wordWrap/>
                    <w:overflowPunct/>
                    <w:topLinePunct w:val="0"/>
                    <w:bidi w:val="0"/>
                    <w:adjustRightInd/>
                    <w:snapToGrid/>
                    <w:ind w:left="0" w:leftChars="0"/>
                    <w:jc w:val="center"/>
                    <w:textAlignment w:val="auto"/>
                    <w:rPr>
                      <w:rFonts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5</w:t>
                  </w:r>
                </w:p>
              </w:tc>
              <w:tc>
                <w:tcPr>
                  <w:tcW w:w="3721" w:type="pct"/>
                  <w:tcBorders>
                    <w:tl2br w:val="nil"/>
                    <w:tr2bl w:val="nil"/>
                  </w:tcBorders>
                  <w:shd w:val="clear" w:color="auto" w:fill="auto"/>
                  <w:vAlign w:val="center"/>
                </w:tcPr>
                <w:p w14:paraId="6EB0FFDF">
                  <w:pPr>
                    <w:keepNext w:val="0"/>
                    <w:keepLines w:val="0"/>
                    <w:pageBreakBefore w:val="0"/>
                    <w:widowControl/>
                    <w:kinsoku/>
                    <w:wordWrap/>
                    <w:overflowPunct/>
                    <w:topLinePunct w:val="0"/>
                    <w:bidi w:val="0"/>
                    <w:adjustRightInd/>
                    <w:snapToGrid/>
                    <w:ind w:left="0" w:leftChars="0"/>
                    <w:jc w:val="both"/>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一、</w:t>
                  </w:r>
                  <w:r>
                    <w:rPr>
                      <w:rFonts w:hint="eastAsia" w:ascii="Times New Roman" w:hAnsi="Times New Roman" w:eastAsia="宋体" w:cs="宋体"/>
                      <w:color w:val="auto"/>
                      <w:kern w:val="0"/>
                      <w:szCs w:val="21"/>
                      <w:highlight w:val="none"/>
                    </w:rPr>
                    <w:t>评分内容</w:t>
                  </w:r>
                </w:p>
                <w:p w14:paraId="0CEE9A86">
                  <w:pPr>
                    <w:keepNext w:val="0"/>
                    <w:keepLines w:val="0"/>
                    <w:pageBreakBefore w:val="0"/>
                    <w:widowControl/>
                    <w:kinsoku/>
                    <w:wordWrap/>
                    <w:overflowPunct/>
                    <w:topLinePunct w:val="0"/>
                    <w:bidi w:val="0"/>
                    <w:adjustRightInd/>
                    <w:snapToGrid/>
                    <w:ind w:left="0" w:leftChars="0"/>
                    <w:jc w:val="both"/>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供应商存在《深圳市财政局政府采购供应商信用信息管理办法》（深财规〔2023〕3号）列明的一般行政处罚信息、一般违法失信记录信息的，本项不得分，不存在上述情形的本项得</w:t>
                  </w:r>
                  <w:r>
                    <w:rPr>
                      <w:rFonts w:hint="eastAsia" w:ascii="Times New Roman" w:hAnsi="Times New Roman" w:eastAsia="宋体" w:cs="宋体"/>
                      <w:color w:val="auto"/>
                      <w:kern w:val="0"/>
                      <w:szCs w:val="21"/>
                      <w:highlight w:val="none"/>
                      <w:lang w:val="en-US" w:eastAsia="zh-CN"/>
                    </w:rPr>
                    <w:t>5</w:t>
                  </w:r>
                  <w:r>
                    <w:rPr>
                      <w:rFonts w:hint="eastAsia" w:ascii="Times New Roman" w:hAnsi="Times New Roman" w:eastAsia="宋体" w:cs="宋体"/>
                      <w:color w:val="auto"/>
                      <w:kern w:val="0"/>
                      <w:szCs w:val="21"/>
                      <w:highlight w:val="none"/>
                    </w:rPr>
                    <w:t>分。供应商无需提供任何证明材料，评标过程中由工作人员向评审委员会提供有关供应商诚信查询结果。</w:t>
                  </w:r>
                </w:p>
                <w:p w14:paraId="6286B5F5">
                  <w:pPr>
                    <w:keepNext w:val="0"/>
                    <w:keepLines w:val="0"/>
                    <w:pageBreakBefore w:val="0"/>
                    <w:widowControl/>
                    <w:kinsoku/>
                    <w:wordWrap/>
                    <w:overflowPunct/>
                    <w:topLinePunct w:val="0"/>
                    <w:bidi w:val="0"/>
                    <w:adjustRightInd/>
                    <w:snapToGrid/>
                    <w:ind w:left="0" w:leftChars="0"/>
                    <w:jc w:val="both"/>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二、</w:t>
                  </w:r>
                  <w:r>
                    <w:rPr>
                      <w:rFonts w:hint="eastAsia" w:ascii="Times New Roman" w:hAnsi="Times New Roman" w:eastAsia="宋体" w:cs="宋体"/>
                      <w:color w:val="auto"/>
                      <w:kern w:val="0"/>
                      <w:szCs w:val="21"/>
                      <w:highlight w:val="none"/>
                    </w:rPr>
                    <w:t>评分依据</w:t>
                  </w:r>
                </w:p>
                <w:p w14:paraId="51ADB313">
                  <w:pPr>
                    <w:keepNext w:val="0"/>
                    <w:keepLines w:val="0"/>
                    <w:pageBreakBefore w:val="0"/>
                    <w:widowControl/>
                    <w:kinsoku/>
                    <w:wordWrap/>
                    <w:overflowPunct/>
                    <w:topLinePunct w:val="0"/>
                    <w:bidi w:val="0"/>
                    <w:adjustRightInd/>
                    <w:snapToGrid/>
                    <w:ind w:left="0" w:leftChars="0"/>
                    <w:jc w:val="both"/>
                    <w:textAlignment w:val="auto"/>
                    <w:rPr>
                      <w:rFonts w:ascii="Times New Roman" w:hAnsi="Times New Roman" w:eastAsia="宋体"/>
                      <w:color w:val="auto"/>
                      <w:highlight w:val="none"/>
                    </w:rPr>
                  </w:pPr>
                  <w:r>
                    <w:rPr>
                      <w:rFonts w:hint="eastAsia" w:ascii="Times New Roman" w:hAnsi="Times New Roman" w:eastAsia="宋体" w:cs="宋体"/>
                      <w:color w:val="auto"/>
                      <w:kern w:val="0"/>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5BFBBEE9">
            <w:pPr>
              <w:keepNext w:val="0"/>
              <w:keepLines w:val="0"/>
              <w:pageBreakBefore w:val="0"/>
              <w:kinsoku/>
              <w:wordWrap/>
              <w:overflowPunct/>
              <w:topLinePunct w:val="0"/>
              <w:bidi w:val="0"/>
              <w:adjustRightInd/>
              <w:snapToGrid/>
              <w:ind w:left="0" w:leftChars="0"/>
              <w:textAlignment w:val="auto"/>
              <w:rPr>
                <w:rFonts w:asciiTheme="minorEastAsia" w:hAnsiTheme="minorEastAsia" w:eastAsiaTheme="minorEastAsia"/>
                <w:b/>
                <w:color w:val="auto"/>
                <w:szCs w:val="21"/>
                <w:highlight w:val="none"/>
              </w:rPr>
            </w:pPr>
          </w:p>
        </w:tc>
      </w:tr>
      <w:tr w14:paraId="0C28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pct"/>
            <w:tcBorders>
              <w:tl2br w:val="nil"/>
              <w:tr2bl w:val="nil"/>
            </w:tcBorders>
            <w:vAlign w:val="center"/>
          </w:tcPr>
          <w:p w14:paraId="19AF27CD">
            <w:pPr>
              <w:keepNext w:val="0"/>
              <w:keepLines w:val="0"/>
              <w:pageBreakBefore w:val="0"/>
              <w:kinsoku/>
              <w:wordWrap/>
              <w:overflowPunct/>
              <w:topLinePunct w:val="0"/>
              <w:bidi w:val="0"/>
              <w:adjustRightInd/>
              <w:snapToGrid/>
              <w:ind w:left="0" w:leftChars="0"/>
              <w:jc w:val="center"/>
              <w:textAlignment w:val="auto"/>
              <w:rPr>
                <w:rFonts w:hint="eastAsia" w:ascii="宋体" w:hAnsi="宋体" w:eastAsia="宋体" w:cs="宋体"/>
                <w:color w:val="auto"/>
                <w:kern w:val="0"/>
                <w:szCs w:val="21"/>
                <w:highlight w:val="none"/>
              </w:rPr>
            </w:pPr>
          </w:p>
        </w:tc>
        <w:tc>
          <w:tcPr>
            <w:tcW w:w="4283" w:type="pct"/>
            <w:gridSpan w:val="10"/>
            <w:tcBorders>
              <w:tl2br w:val="nil"/>
              <w:tr2bl w:val="nil"/>
            </w:tcBorders>
          </w:tcPr>
          <w:p w14:paraId="1D07DB5A">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s="宋体" w:asciiTheme="minorEastAsia" w:hAnsiTheme="minorEastAsia" w:eastAsiaTheme="minorEastAsia"/>
                <w:color w:val="auto"/>
                <w:szCs w:val="21"/>
                <w:highlight w:val="none"/>
                <w:lang w:val="en-US" w:eastAsia="zh-CN"/>
              </w:rPr>
            </w:pPr>
          </w:p>
        </w:tc>
      </w:tr>
    </w:tbl>
    <w:p w14:paraId="0FEF2E71">
      <w:pPr>
        <w:keepNext w:val="0"/>
        <w:keepLines w:val="0"/>
        <w:pageBreakBefore w:val="0"/>
        <w:widowControl w:val="0"/>
        <w:kinsoku/>
        <w:wordWrap/>
        <w:overflowPunct/>
        <w:topLinePunct w:val="0"/>
        <w:autoSpaceDE/>
        <w:autoSpaceDN/>
        <w:bidi w:val="0"/>
        <w:adjustRightInd/>
        <w:snapToGrid/>
        <w:spacing w:line="300" w:lineRule="exact"/>
        <w:ind w:left="0" w:leftChars="0"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 </w:t>
      </w:r>
    </w:p>
    <w:p w14:paraId="73E7D14B">
      <w:pPr>
        <w:pStyle w:val="2"/>
        <w:numPr>
          <w:ilvl w:val="1"/>
          <w:numId w:val="0"/>
        </w:numPr>
        <w:ind w:leftChars="0"/>
        <w:rPr>
          <w:rFonts w:hint="eastAsia"/>
          <w:lang w:eastAsia="zh-CN"/>
        </w:rPr>
      </w:pPr>
    </w:p>
    <w:p w14:paraId="472DF734">
      <w:pPr>
        <w:rPr>
          <w:rFonts w:hint="eastAsia"/>
          <w:lang w:eastAsia="zh-CN"/>
        </w:rPr>
      </w:pPr>
    </w:p>
    <w:p w14:paraId="4CC7E40B">
      <w:pPr>
        <w:rPr>
          <w:rFonts w:hint="eastAsia"/>
          <w:lang w:eastAsia="zh-CN"/>
        </w:rPr>
      </w:pPr>
    </w:p>
    <w:p w14:paraId="527A22BC">
      <w:pPr>
        <w:pStyle w:val="2"/>
        <w:numPr>
          <w:ilvl w:val="1"/>
          <w:numId w:val="0"/>
        </w:numPr>
        <w:ind w:leftChars="0"/>
        <w:rPr>
          <w:rFonts w:hint="eastAsia"/>
          <w:lang w:eastAsia="zh-CN"/>
        </w:rPr>
      </w:pPr>
    </w:p>
    <w:p w14:paraId="6EAF62CF">
      <w:pPr>
        <w:rPr>
          <w:rFonts w:hint="eastAsia"/>
          <w:lang w:eastAsia="zh-CN"/>
        </w:rPr>
      </w:pPr>
    </w:p>
    <w:p w14:paraId="4BD4B07A">
      <w:pPr>
        <w:rPr>
          <w:rFonts w:hint="eastAsia"/>
          <w:lang w:eastAsia="zh-CN"/>
        </w:rPr>
      </w:pPr>
    </w:p>
    <w:p w14:paraId="56553781">
      <w:pPr>
        <w:pStyle w:val="2"/>
        <w:numPr>
          <w:ilvl w:val="1"/>
          <w:numId w:val="0"/>
        </w:numPr>
        <w:ind w:leftChars="0"/>
        <w:rPr>
          <w:rFonts w:hint="eastAsia"/>
          <w:lang w:eastAsia="zh-CN"/>
        </w:rPr>
      </w:pPr>
    </w:p>
    <w:p w14:paraId="38DFFD03">
      <w:pPr>
        <w:rPr>
          <w:rFonts w:hint="eastAsia"/>
          <w:lang w:eastAsia="zh-CN"/>
        </w:rPr>
      </w:pPr>
    </w:p>
    <w:p w14:paraId="62FDBBEA">
      <w:pPr>
        <w:pStyle w:val="2"/>
        <w:numPr>
          <w:ilvl w:val="1"/>
          <w:numId w:val="0"/>
        </w:numPr>
        <w:ind w:leftChars="0"/>
        <w:rPr>
          <w:rFonts w:hint="eastAsia"/>
          <w:lang w:eastAsia="zh-CN"/>
        </w:rPr>
      </w:pPr>
    </w:p>
    <w:p w14:paraId="3240B9BA">
      <w:pPr>
        <w:keepNext/>
        <w:keepLines/>
        <w:widowControl w:val="0"/>
        <w:spacing w:before="260" w:after="260" w:line="416" w:lineRule="auto"/>
        <w:jc w:val="both"/>
        <w:outlineLvl w:val="1"/>
        <w:rPr>
          <w:rFonts w:hint="eastAsia" w:ascii="Arial" w:hAnsi="Arial" w:eastAsia="黑体" w:cs="Times New Roman"/>
          <w:b/>
          <w:bCs/>
          <w:kern w:val="2"/>
          <w:sz w:val="32"/>
          <w:szCs w:val="32"/>
          <w:lang w:val="en-US" w:eastAsia="zh-CN" w:bidi="ar-SA"/>
        </w:rPr>
      </w:pPr>
      <w:r>
        <w:rPr>
          <w:rFonts w:hint="eastAsia" w:ascii="Arial" w:hAnsi="Arial" w:eastAsia="黑体" w:cs="Times New Roman"/>
          <w:b/>
          <w:bCs/>
          <w:kern w:val="2"/>
          <w:sz w:val="32"/>
          <w:szCs w:val="32"/>
          <w:lang w:val="en-US" w:eastAsia="zh-CN" w:bidi="ar-SA"/>
        </w:rPr>
        <w:t>附件1：</w:t>
      </w:r>
    </w:p>
    <w:p w14:paraId="3C6CDF69">
      <w:pPr>
        <w:keepNext/>
        <w:keepLines/>
        <w:widowControl w:val="0"/>
        <w:numPr>
          <w:ilvl w:val="0"/>
          <w:numId w:val="0"/>
        </w:numPr>
        <w:spacing w:before="260" w:after="260" w:line="240" w:lineRule="auto"/>
        <w:ind w:left="0" w:firstLine="0"/>
        <w:jc w:val="center"/>
        <w:outlineLvl w:val="1"/>
        <w:rPr>
          <w:rFonts w:hint="eastAsia" w:ascii="宋体" w:hAnsi="宋体" w:eastAsia="宋体" w:cs="Times New Roman"/>
          <w:b/>
          <w:bCs/>
          <w:color w:val="auto"/>
          <w:kern w:val="2"/>
          <w:sz w:val="30"/>
          <w:szCs w:val="30"/>
          <w:highlight w:val="none"/>
          <w:lang w:val="en-US" w:eastAsia="zh-CN" w:bidi="ar-SA"/>
        </w:rPr>
      </w:pPr>
      <w:bookmarkStart w:id="4" w:name="_Toc3630"/>
      <w:r>
        <w:rPr>
          <w:rFonts w:hint="eastAsia" w:ascii="宋体" w:hAnsi="宋体" w:eastAsia="宋体" w:cs="Times New Roman"/>
          <w:b/>
          <w:bCs/>
          <w:color w:val="auto"/>
          <w:kern w:val="2"/>
          <w:sz w:val="30"/>
          <w:szCs w:val="30"/>
          <w:highlight w:val="none"/>
          <w:lang w:val="en-US" w:eastAsia="zh-CN" w:bidi="ar-SA"/>
        </w:rPr>
        <w:t>特定关系承诺函</w:t>
      </w:r>
      <w:bookmarkEnd w:id="4"/>
    </w:p>
    <w:p w14:paraId="589E3CAD">
      <w:pPr>
        <w:widowControl w:val="0"/>
        <w:numPr>
          <w:ilvl w:val="0"/>
          <w:numId w:val="0"/>
        </w:numPr>
        <w:tabs>
          <w:tab w:val="right" w:pos="142"/>
          <w:tab w:val="right" w:pos="709"/>
        </w:tabs>
        <w:jc w:val="center"/>
        <w:rPr>
          <w:rFonts w:hint="default" w:ascii="宋体" w:hAnsi="宋体" w:eastAsia="宋体" w:cs="宋体"/>
          <w:b/>
          <w:bCs/>
          <w:color w:val="auto"/>
          <w:sz w:val="24"/>
          <w:szCs w:val="24"/>
          <w:highlight w:val="none"/>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2073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noWrap w:val="0"/>
            <w:vAlign w:val="top"/>
          </w:tcPr>
          <w:p w14:paraId="3184FCA4">
            <w:pPr>
              <w:widowControl w:val="0"/>
              <w:spacing w:line="580" w:lineRule="exact"/>
              <w:ind w:left="0" w:leftChars="0" w:firstLine="0" w:firstLineChars="0"/>
              <w:jc w:val="center"/>
              <w:rPr>
                <w:rFonts w:hint="eastAsia" w:ascii="宋体" w:hAnsi="宋体" w:eastAsia="宋体" w:cs="宋体"/>
                <w:b w:val="0"/>
                <w:bCs w:val="0"/>
                <w:color w:val="auto"/>
                <w:kern w:val="2"/>
                <w:sz w:val="32"/>
                <w:szCs w:val="32"/>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特定关系承诺函</w:t>
            </w:r>
          </w:p>
          <w:p w14:paraId="5EF703CF">
            <w:pPr>
              <w:spacing w:line="360" w:lineRule="auto"/>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致：</w:t>
            </w:r>
            <w:r>
              <w:rPr>
                <w:rFonts w:hint="eastAsia" w:ascii="宋体" w:hAnsi="宋体" w:eastAsia="宋体" w:cs="宋体"/>
                <w:color w:val="auto"/>
                <w:sz w:val="32"/>
                <w:szCs w:val="32"/>
                <w:highlight w:val="none"/>
                <w:u w:val="single"/>
                <w:lang w:val="en-US" w:eastAsia="zh-CN"/>
              </w:rPr>
              <w:t>深圳市大数据资源管理中心</w:t>
            </w:r>
            <w:r>
              <w:rPr>
                <w:rFonts w:hint="eastAsia" w:ascii="宋体" w:hAnsi="宋体" w:eastAsia="宋体" w:cs="宋体"/>
                <w:color w:val="auto"/>
                <w:sz w:val="32"/>
                <w:szCs w:val="32"/>
                <w:highlight w:val="none"/>
                <w:lang w:val="en-US" w:eastAsia="zh-CN"/>
              </w:rPr>
              <w:t>：</w:t>
            </w:r>
          </w:p>
          <w:p w14:paraId="0A4D2BF0">
            <w:pPr>
              <w:spacing w:line="360" w:lineRule="auto"/>
              <w:ind w:firstLine="640" w:firstLineChars="200"/>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我公司承诺与</w:t>
            </w:r>
            <w:r>
              <w:rPr>
                <w:rFonts w:hint="eastAsia" w:ascii="宋体" w:hAnsi="宋体" w:eastAsia="宋体" w:cs="宋体"/>
                <w:b/>
                <w:bCs/>
                <w:color w:val="auto"/>
                <w:sz w:val="32"/>
                <w:szCs w:val="32"/>
                <w:highlight w:val="none"/>
                <w:u w:val="single"/>
                <w:lang w:val="en-US" w:eastAsia="zh-CN"/>
              </w:rPr>
              <w:t>本项目其他投标供应商</w:t>
            </w:r>
            <w:r>
              <w:rPr>
                <w:rFonts w:hint="eastAsia" w:ascii="宋体" w:hAnsi="宋体" w:eastAsia="宋体" w:cs="宋体"/>
                <w:color w:val="auto"/>
                <w:sz w:val="32"/>
                <w:szCs w:val="32"/>
                <w:highlight w:val="none"/>
                <w:lang w:val="en-US" w:eastAsia="zh-CN"/>
              </w:rPr>
              <w:t>不存在以下关系：</w:t>
            </w:r>
          </w:p>
          <w:p w14:paraId="17486331">
            <w:pPr>
              <w:spacing w:line="360" w:lineRule="auto"/>
              <w:ind w:firstLine="640" w:firstLineChars="200"/>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法定代表人、主要经营负责人、项目投标授权代表人、项目负责人、主要技术人员为同一人、属同一单位或者在同一单位缴纳社会保险。</w:t>
            </w:r>
          </w:p>
          <w:p w14:paraId="529D4931">
            <w:pPr>
              <w:spacing w:line="360" w:lineRule="auto"/>
              <w:ind w:firstLine="640" w:firstLineChars="200"/>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以上承诺，如有违反，愿依照国家相关法律处理，并承担由此给本项目采购单位带来的损失。</w:t>
            </w:r>
          </w:p>
          <w:p w14:paraId="284F2A11">
            <w:pPr>
              <w:adjustRightInd w:val="0"/>
              <w:snapToGrid w:val="0"/>
              <w:spacing w:line="360" w:lineRule="auto"/>
              <w:jc w:val="both"/>
              <w:rPr>
                <w:rFonts w:hint="eastAsia" w:ascii="宋体" w:hAnsi="宋体" w:eastAsia="宋体" w:cs="宋体"/>
                <w:color w:val="auto"/>
                <w:sz w:val="32"/>
                <w:szCs w:val="32"/>
                <w:highlight w:val="none"/>
                <w:lang w:val="en-US" w:eastAsia="zh-CN"/>
              </w:rPr>
            </w:pPr>
          </w:p>
          <w:p w14:paraId="56809075">
            <w:pPr>
              <w:adjustRightInd w:val="0"/>
              <w:snapToGrid w:val="0"/>
              <w:spacing w:line="360" w:lineRule="auto"/>
              <w:jc w:val="both"/>
              <w:rPr>
                <w:rFonts w:hint="eastAsia" w:ascii="宋体" w:hAnsi="宋体" w:eastAsia="宋体" w:cs="宋体"/>
                <w:color w:val="auto"/>
                <w:sz w:val="32"/>
                <w:szCs w:val="32"/>
                <w:highlight w:val="none"/>
                <w:lang w:val="en-US" w:eastAsia="zh-CN"/>
              </w:rPr>
            </w:pPr>
          </w:p>
          <w:p w14:paraId="4847B913">
            <w:pPr>
              <w:adjustRightInd w:val="0"/>
              <w:snapToGrid w:val="0"/>
              <w:spacing w:line="360" w:lineRule="auto"/>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投标供应商法定代表人（或法定代表人授权代表）签字：</w:t>
            </w:r>
          </w:p>
          <w:p w14:paraId="18644E46">
            <w:pPr>
              <w:adjustRightInd w:val="0"/>
              <w:snapToGrid w:val="0"/>
              <w:spacing w:line="360" w:lineRule="auto"/>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u w:val="single"/>
                <w:lang w:val="en-US" w:eastAsia="zh-CN"/>
              </w:rPr>
              <w:t xml:space="preserve">                   </w:t>
            </w:r>
          </w:p>
          <w:p w14:paraId="76EA2F39">
            <w:pPr>
              <w:adjustRightInd w:val="0"/>
              <w:snapToGrid w:val="0"/>
              <w:spacing w:line="360" w:lineRule="auto"/>
              <w:jc w:val="both"/>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lang w:val="en-US" w:eastAsia="zh-CN"/>
              </w:rPr>
              <w:t>投标供应商名称（签章）：</w:t>
            </w:r>
            <w:r>
              <w:rPr>
                <w:rFonts w:hint="eastAsia" w:ascii="宋体" w:hAnsi="宋体" w:eastAsia="宋体" w:cs="宋体"/>
                <w:color w:val="auto"/>
                <w:sz w:val="32"/>
                <w:szCs w:val="32"/>
                <w:highlight w:val="none"/>
                <w:u w:val="single"/>
                <w:lang w:val="en-US" w:eastAsia="zh-CN"/>
              </w:rPr>
              <w:t xml:space="preserve">                        </w:t>
            </w:r>
          </w:p>
          <w:p w14:paraId="5D4230F5">
            <w:pPr>
              <w:spacing w:line="360" w:lineRule="auto"/>
              <w:jc w:val="both"/>
              <w:rPr>
                <w:rFonts w:hint="eastAsia" w:ascii="仿宋_GB2312" w:hAnsi="仿宋_GB2312" w:eastAsia="仿宋_GB2312" w:cs="仿宋_GB2312"/>
                <w:color w:val="auto"/>
                <w:sz w:val="32"/>
                <w:szCs w:val="32"/>
                <w:highlight w:val="none"/>
                <w:lang w:val="en-US" w:eastAsia="zh-CN"/>
              </w:rPr>
            </w:pPr>
            <w:r>
              <w:rPr>
                <w:rFonts w:hint="eastAsia" w:ascii="宋体" w:hAnsi="宋体" w:eastAsia="宋体" w:cs="宋体"/>
                <w:color w:val="auto"/>
                <w:sz w:val="32"/>
                <w:szCs w:val="32"/>
                <w:highlight w:val="none"/>
                <w:lang w:val="en-US" w:eastAsia="zh-CN"/>
              </w:rPr>
              <w:t>日期：   年   月   日</w:t>
            </w:r>
          </w:p>
          <w:p w14:paraId="5B9C09A8">
            <w:pPr>
              <w:widowControl w:val="0"/>
              <w:spacing w:line="580" w:lineRule="exact"/>
              <w:ind w:left="0" w:leftChars="0" w:firstLine="0" w:firstLineChars="0"/>
              <w:jc w:val="both"/>
              <w:rPr>
                <w:rFonts w:hint="eastAsia" w:ascii="宋体" w:hAnsi="宋体" w:eastAsia="宋体" w:cs="宋体"/>
                <w:b/>
                <w:bCs/>
                <w:color w:val="auto"/>
                <w:kern w:val="2"/>
                <w:sz w:val="28"/>
                <w:szCs w:val="28"/>
                <w:highlight w:val="none"/>
                <w:lang w:val="en-US" w:eastAsia="zh-CN" w:bidi="ar-SA"/>
              </w:rPr>
            </w:pPr>
          </w:p>
        </w:tc>
      </w:tr>
    </w:tbl>
    <w:p w14:paraId="2AFECAB2">
      <w:pPr>
        <w:keepNext/>
        <w:keepLines/>
        <w:widowControl w:val="0"/>
        <w:spacing w:before="260" w:after="260" w:line="416" w:lineRule="auto"/>
        <w:jc w:val="both"/>
        <w:outlineLvl w:val="1"/>
        <w:rPr>
          <w:rFonts w:hint="eastAsia" w:ascii="宋体" w:hAnsi="宋体" w:eastAsia="宋体" w:cs="Times New Roman"/>
          <w:b/>
          <w:bCs/>
          <w:color w:val="auto"/>
          <w:kern w:val="2"/>
          <w:sz w:val="30"/>
          <w:szCs w:val="30"/>
          <w:highlight w:val="none"/>
          <w:lang w:val="en-US" w:eastAsia="zh-CN" w:bidi="ar-SA"/>
        </w:rPr>
      </w:pPr>
      <w:r>
        <w:rPr>
          <w:rFonts w:hint="eastAsia" w:ascii="宋体" w:hAnsi="宋体" w:eastAsia="宋体" w:cs="Times New Roman"/>
          <w:b/>
          <w:bCs/>
          <w:color w:val="auto"/>
          <w:kern w:val="2"/>
          <w:sz w:val="30"/>
          <w:szCs w:val="30"/>
          <w:highlight w:val="none"/>
          <w:lang w:val="en-US" w:eastAsia="zh-CN" w:bidi="ar-SA"/>
        </w:rPr>
        <w:br w:type="page"/>
      </w:r>
      <w:r>
        <w:rPr>
          <w:rFonts w:hint="eastAsia" w:ascii="宋体" w:hAnsi="宋体" w:eastAsia="宋体" w:cs="Times New Roman"/>
          <w:b/>
          <w:bCs/>
          <w:color w:val="auto"/>
          <w:kern w:val="2"/>
          <w:sz w:val="30"/>
          <w:szCs w:val="30"/>
          <w:highlight w:val="none"/>
          <w:lang w:val="en-US" w:eastAsia="zh-CN" w:bidi="ar-SA"/>
        </w:rPr>
        <w:t>附件2：</w:t>
      </w:r>
    </w:p>
    <w:p w14:paraId="4E31F21C">
      <w:pPr>
        <w:keepNext/>
        <w:keepLines/>
        <w:widowControl w:val="0"/>
        <w:numPr>
          <w:ilvl w:val="0"/>
          <w:numId w:val="0"/>
        </w:numPr>
        <w:spacing w:before="260" w:after="260" w:line="240" w:lineRule="auto"/>
        <w:ind w:left="0" w:firstLine="0"/>
        <w:jc w:val="center"/>
        <w:outlineLvl w:val="1"/>
        <w:rPr>
          <w:rFonts w:ascii="宋体" w:hAnsi="宋体" w:eastAsia="宋体" w:cs="Times New Roman"/>
          <w:b/>
          <w:bCs/>
          <w:color w:val="auto"/>
          <w:kern w:val="2"/>
          <w:sz w:val="30"/>
          <w:szCs w:val="30"/>
          <w:highlight w:val="none"/>
          <w:lang w:val="en-US" w:eastAsia="zh-CN" w:bidi="ar-SA"/>
        </w:rPr>
      </w:pPr>
      <w:bookmarkStart w:id="5" w:name="_Toc17404"/>
      <w:r>
        <w:rPr>
          <w:rFonts w:hint="eastAsia" w:ascii="宋体" w:hAnsi="宋体" w:eastAsia="宋体" w:cs="Times New Roman"/>
          <w:b/>
          <w:bCs/>
          <w:color w:val="auto"/>
          <w:kern w:val="2"/>
          <w:sz w:val="30"/>
          <w:szCs w:val="30"/>
          <w:highlight w:val="none"/>
          <w:lang w:val="en-US" w:eastAsia="zh-CN" w:bidi="ar-SA"/>
        </w:rPr>
        <w:t>供应商基本情况表</w:t>
      </w:r>
      <w:bookmarkEnd w:id="5"/>
    </w:p>
    <w:p w14:paraId="6C59C300">
      <w:pPr>
        <w:spacing w:before="220" w:line="198" w:lineRule="auto"/>
        <w:ind w:left="1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w:t>
      </w:r>
      <w:r>
        <w:rPr>
          <w:rFonts w:hint="eastAsia" w:ascii="宋体" w:hAnsi="宋体" w:eastAsia="宋体" w:cs="宋体"/>
          <w:color w:val="auto"/>
          <w:spacing w:val="-2"/>
          <w:kern w:val="2"/>
          <w:sz w:val="21"/>
          <w:szCs w:val="21"/>
          <w:highlight w:val="none"/>
          <w:lang w:val="en-US" w:eastAsia="en-US" w:bidi="ar-SA"/>
        </w:rPr>
        <w:t>表单位：（加盖单位公章）</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填表日期：</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z w:val="21"/>
          <w:szCs w:val="21"/>
          <w:highlight w:val="none"/>
        </w:rPr>
        <w:t>年     月      日</w:t>
      </w:r>
    </w:p>
    <w:p w14:paraId="36ABAF74">
      <w:pPr>
        <w:spacing w:line="75" w:lineRule="exact"/>
        <w:rPr>
          <w:rFonts w:hint="eastAsia" w:ascii="宋体" w:hAnsi="宋体" w:eastAsia="宋体" w:cs="宋体"/>
          <w:color w:val="auto"/>
          <w:sz w:val="21"/>
          <w:szCs w:val="21"/>
          <w:highlight w:val="none"/>
        </w:rPr>
      </w:pPr>
    </w:p>
    <w:tbl>
      <w:tblPr>
        <w:tblStyle w:val="38"/>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4BA43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noWrap w:val="0"/>
            <w:vAlign w:val="center"/>
          </w:tcPr>
          <w:p w14:paraId="035F52AA">
            <w:pPr>
              <w:pStyle w:val="37"/>
              <w:spacing w:before="180" w:line="203" w:lineRule="auto"/>
              <w:ind w:left="359"/>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采购方</w:t>
            </w:r>
          </w:p>
        </w:tc>
        <w:tc>
          <w:tcPr>
            <w:tcW w:w="7529" w:type="dxa"/>
            <w:gridSpan w:val="6"/>
            <w:noWrap w:val="0"/>
            <w:vAlign w:val="center"/>
          </w:tcPr>
          <w:p w14:paraId="5104B93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eastAsia="zh-CN"/>
              </w:rPr>
              <w:t>深圳市大数据资源管理中心</w:t>
            </w:r>
          </w:p>
        </w:tc>
      </w:tr>
      <w:tr w14:paraId="41F9F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noWrap w:val="0"/>
            <w:vAlign w:val="center"/>
          </w:tcPr>
          <w:p w14:paraId="15C2E4DA">
            <w:pPr>
              <w:pStyle w:val="37"/>
              <w:spacing w:before="181" w:line="201"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3"/>
                <w:sz w:val="21"/>
                <w:szCs w:val="21"/>
                <w:highlight w:val="none"/>
              </w:rPr>
              <w:t>项目名称</w:t>
            </w:r>
          </w:p>
        </w:tc>
        <w:tc>
          <w:tcPr>
            <w:tcW w:w="7529" w:type="dxa"/>
            <w:gridSpan w:val="6"/>
            <w:noWrap w:val="0"/>
            <w:vAlign w:val="center"/>
          </w:tcPr>
          <w:p w14:paraId="77EE8162">
            <w:pPr>
              <w:jc w:val="center"/>
              <w:rPr>
                <w:rFonts w:hint="default" w:ascii="宋体" w:hAnsi="宋体" w:eastAsia="宋体" w:cs="宋体"/>
                <w:color w:val="auto"/>
                <w:sz w:val="21"/>
                <w:szCs w:val="21"/>
                <w:highlight w:val="none"/>
                <w:lang w:val="en-US" w:eastAsia="zh-CN"/>
              </w:rPr>
            </w:pPr>
          </w:p>
        </w:tc>
      </w:tr>
      <w:tr w14:paraId="028E7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noWrap w:val="0"/>
            <w:vAlign w:val="center"/>
          </w:tcPr>
          <w:p w14:paraId="064D7C0C">
            <w:pPr>
              <w:pStyle w:val="37"/>
              <w:spacing w:before="40" w:line="191" w:lineRule="auto"/>
              <w:ind w:left="126" w:right="105" w:firstLine="111"/>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投标（响</w:t>
            </w:r>
            <w:r>
              <w:rPr>
                <w:rFonts w:hint="eastAsia" w:ascii="宋体" w:hAnsi="宋体" w:eastAsia="宋体" w:cs="宋体"/>
                <w:color w:val="auto"/>
                <w:spacing w:val="-5"/>
                <w:sz w:val="21"/>
                <w:szCs w:val="21"/>
                <w:highlight w:val="none"/>
              </w:rPr>
              <w:t>应）供应商</w:t>
            </w:r>
          </w:p>
        </w:tc>
        <w:tc>
          <w:tcPr>
            <w:tcW w:w="2551" w:type="dxa"/>
            <w:gridSpan w:val="2"/>
            <w:noWrap w:val="0"/>
            <w:vAlign w:val="center"/>
          </w:tcPr>
          <w:p w14:paraId="4481274B">
            <w:pPr>
              <w:jc w:val="center"/>
              <w:rPr>
                <w:rFonts w:hint="eastAsia" w:ascii="宋体" w:hAnsi="宋体" w:eastAsia="宋体" w:cs="宋体"/>
                <w:color w:val="auto"/>
                <w:sz w:val="21"/>
                <w:szCs w:val="21"/>
                <w:highlight w:val="none"/>
              </w:rPr>
            </w:pPr>
          </w:p>
        </w:tc>
        <w:tc>
          <w:tcPr>
            <w:tcW w:w="1990" w:type="dxa"/>
            <w:gridSpan w:val="2"/>
            <w:noWrap w:val="0"/>
            <w:vAlign w:val="center"/>
          </w:tcPr>
          <w:p w14:paraId="6849EE81">
            <w:pPr>
              <w:pStyle w:val="37"/>
              <w:spacing w:before="40" w:line="191" w:lineRule="auto"/>
              <w:ind w:left="527" w:right="152" w:hanging="362"/>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供应商统一社会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信用代码</w:t>
            </w:r>
          </w:p>
        </w:tc>
        <w:tc>
          <w:tcPr>
            <w:tcW w:w="2988" w:type="dxa"/>
            <w:gridSpan w:val="2"/>
            <w:noWrap w:val="0"/>
            <w:vAlign w:val="center"/>
          </w:tcPr>
          <w:p w14:paraId="03B32CE5">
            <w:pPr>
              <w:jc w:val="center"/>
              <w:rPr>
                <w:rFonts w:hint="eastAsia" w:ascii="宋体" w:hAnsi="宋体" w:eastAsia="宋体" w:cs="宋体"/>
                <w:color w:val="auto"/>
                <w:sz w:val="21"/>
                <w:szCs w:val="21"/>
                <w:highlight w:val="none"/>
              </w:rPr>
            </w:pPr>
          </w:p>
        </w:tc>
      </w:tr>
      <w:tr w14:paraId="647A1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noWrap w:val="0"/>
            <w:vAlign w:val="top"/>
          </w:tcPr>
          <w:p w14:paraId="1F939317">
            <w:pPr>
              <w:pStyle w:val="37"/>
              <w:spacing w:before="175" w:line="198" w:lineRule="auto"/>
              <w:ind w:left="2683"/>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投标（响应）供应商相关人员情况</w:t>
            </w:r>
          </w:p>
        </w:tc>
      </w:tr>
      <w:tr w14:paraId="0E46E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top"/>
          </w:tcPr>
          <w:p w14:paraId="1602B8B4">
            <w:pPr>
              <w:pStyle w:val="37"/>
              <w:spacing w:before="217" w:line="202" w:lineRule="auto"/>
              <w:ind w:left="14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2281" w:type="dxa"/>
            <w:gridSpan w:val="2"/>
            <w:noWrap w:val="0"/>
            <w:vAlign w:val="top"/>
          </w:tcPr>
          <w:p w14:paraId="135FB0D6">
            <w:pPr>
              <w:pStyle w:val="37"/>
              <w:spacing w:before="213" w:line="202" w:lineRule="auto"/>
              <w:ind w:left="91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职务</w:t>
            </w:r>
          </w:p>
        </w:tc>
        <w:tc>
          <w:tcPr>
            <w:tcW w:w="946" w:type="dxa"/>
            <w:noWrap w:val="0"/>
            <w:vAlign w:val="top"/>
          </w:tcPr>
          <w:p w14:paraId="48AD9352">
            <w:pPr>
              <w:pStyle w:val="37"/>
              <w:spacing w:before="213" w:line="203" w:lineRule="auto"/>
              <w:ind w:left="24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姓名</w:t>
            </w:r>
          </w:p>
        </w:tc>
        <w:tc>
          <w:tcPr>
            <w:tcW w:w="1990" w:type="dxa"/>
            <w:gridSpan w:val="2"/>
            <w:noWrap w:val="0"/>
            <w:vAlign w:val="top"/>
          </w:tcPr>
          <w:p w14:paraId="192F5F35">
            <w:pPr>
              <w:pStyle w:val="37"/>
              <w:spacing w:before="214" w:line="203" w:lineRule="auto"/>
              <w:ind w:left="4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身份证号码</w:t>
            </w:r>
          </w:p>
        </w:tc>
        <w:tc>
          <w:tcPr>
            <w:tcW w:w="1499" w:type="dxa"/>
            <w:noWrap w:val="0"/>
            <w:vAlign w:val="top"/>
          </w:tcPr>
          <w:p w14:paraId="355A9B26">
            <w:pPr>
              <w:pStyle w:val="37"/>
              <w:spacing w:before="39" w:line="191" w:lineRule="auto"/>
              <w:ind w:left="288" w:right="266" w:firstLine="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劳动合同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关系单位</w:t>
            </w:r>
          </w:p>
        </w:tc>
        <w:tc>
          <w:tcPr>
            <w:tcW w:w="1489" w:type="dxa"/>
            <w:noWrap w:val="0"/>
            <w:vAlign w:val="top"/>
          </w:tcPr>
          <w:p w14:paraId="4DF5CD99">
            <w:pPr>
              <w:pStyle w:val="37"/>
              <w:spacing w:before="39" w:line="191" w:lineRule="auto"/>
              <w:ind w:left="271" w:right="262" w:firstLine="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缴纳社会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保险单位</w:t>
            </w:r>
          </w:p>
        </w:tc>
      </w:tr>
      <w:tr w14:paraId="2669D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40" w:type="dxa"/>
            <w:noWrap w:val="0"/>
            <w:vAlign w:val="top"/>
          </w:tcPr>
          <w:p w14:paraId="6156AA10">
            <w:pPr>
              <w:spacing w:line="252" w:lineRule="auto"/>
              <w:rPr>
                <w:rFonts w:hint="eastAsia" w:ascii="宋体" w:hAnsi="宋体" w:eastAsia="宋体" w:cs="宋体"/>
                <w:color w:val="auto"/>
                <w:sz w:val="21"/>
                <w:szCs w:val="21"/>
                <w:highlight w:val="none"/>
              </w:rPr>
            </w:pPr>
          </w:p>
          <w:p w14:paraId="17C69463">
            <w:pPr>
              <w:pStyle w:val="37"/>
              <w:spacing w:before="103" w:line="169" w:lineRule="auto"/>
              <w:ind w:left="3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81" w:type="dxa"/>
            <w:gridSpan w:val="2"/>
            <w:noWrap w:val="0"/>
            <w:vAlign w:val="top"/>
          </w:tcPr>
          <w:p w14:paraId="2A5E2A5B">
            <w:pPr>
              <w:pStyle w:val="37"/>
              <w:spacing w:before="174" w:line="235" w:lineRule="auto"/>
              <w:ind w:left="240" w:right="116" w:hanging="10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法定代表人/单位负责 人/主要经营负责人</w:t>
            </w:r>
          </w:p>
        </w:tc>
        <w:tc>
          <w:tcPr>
            <w:tcW w:w="946" w:type="dxa"/>
            <w:noWrap w:val="0"/>
            <w:vAlign w:val="top"/>
          </w:tcPr>
          <w:p w14:paraId="4409F378">
            <w:pPr>
              <w:rPr>
                <w:rFonts w:hint="eastAsia" w:ascii="宋体" w:hAnsi="宋体" w:eastAsia="宋体" w:cs="宋体"/>
                <w:color w:val="auto"/>
                <w:sz w:val="21"/>
                <w:szCs w:val="21"/>
                <w:highlight w:val="none"/>
              </w:rPr>
            </w:pPr>
          </w:p>
        </w:tc>
        <w:tc>
          <w:tcPr>
            <w:tcW w:w="1990" w:type="dxa"/>
            <w:gridSpan w:val="2"/>
            <w:noWrap w:val="0"/>
            <w:vAlign w:val="top"/>
          </w:tcPr>
          <w:p w14:paraId="7CAE2189">
            <w:pPr>
              <w:rPr>
                <w:rFonts w:hint="eastAsia" w:ascii="宋体" w:hAnsi="宋体" w:eastAsia="宋体" w:cs="宋体"/>
                <w:color w:val="auto"/>
                <w:sz w:val="21"/>
                <w:szCs w:val="21"/>
                <w:highlight w:val="none"/>
              </w:rPr>
            </w:pPr>
          </w:p>
        </w:tc>
        <w:tc>
          <w:tcPr>
            <w:tcW w:w="1499" w:type="dxa"/>
            <w:noWrap w:val="0"/>
            <w:vAlign w:val="top"/>
          </w:tcPr>
          <w:p w14:paraId="05051FB9">
            <w:pPr>
              <w:rPr>
                <w:rFonts w:hint="eastAsia" w:ascii="宋体" w:hAnsi="宋体" w:eastAsia="宋体" w:cs="宋体"/>
                <w:color w:val="auto"/>
                <w:sz w:val="21"/>
                <w:szCs w:val="21"/>
                <w:highlight w:val="none"/>
              </w:rPr>
            </w:pPr>
          </w:p>
        </w:tc>
        <w:tc>
          <w:tcPr>
            <w:tcW w:w="1489" w:type="dxa"/>
            <w:noWrap w:val="0"/>
            <w:vAlign w:val="top"/>
          </w:tcPr>
          <w:p w14:paraId="7C506DB9">
            <w:pPr>
              <w:rPr>
                <w:rFonts w:hint="eastAsia" w:ascii="宋体" w:hAnsi="宋体" w:eastAsia="宋体" w:cs="宋体"/>
                <w:color w:val="auto"/>
                <w:sz w:val="21"/>
                <w:szCs w:val="21"/>
                <w:highlight w:val="none"/>
              </w:rPr>
            </w:pPr>
          </w:p>
        </w:tc>
      </w:tr>
      <w:tr w14:paraId="3AFC3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top"/>
          </w:tcPr>
          <w:p w14:paraId="7CD07949">
            <w:pPr>
              <w:pStyle w:val="37"/>
              <w:spacing w:before="211" w:line="168" w:lineRule="auto"/>
              <w:ind w:left="3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281" w:type="dxa"/>
            <w:gridSpan w:val="2"/>
            <w:noWrap w:val="0"/>
            <w:vAlign w:val="top"/>
          </w:tcPr>
          <w:p w14:paraId="3D62AE11">
            <w:pPr>
              <w:pStyle w:val="37"/>
              <w:spacing w:before="190" w:line="202" w:lineRule="auto"/>
              <w:ind w:left="1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项目投标授权代表人</w:t>
            </w:r>
          </w:p>
        </w:tc>
        <w:tc>
          <w:tcPr>
            <w:tcW w:w="946" w:type="dxa"/>
            <w:noWrap w:val="0"/>
            <w:vAlign w:val="top"/>
          </w:tcPr>
          <w:p w14:paraId="2E6C92AB">
            <w:pPr>
              <w:rPr>
                <w:rFonts w:hint="eastAsia" w:ascii="宋体" w:hAnsi="宋体" w:eastAsia="宋体" w:cs="宋体"/>
                <w:color w:val="auto"/>
                <w:sz w:val="21"/>
                <w:szCs w:val="21"/>
                <w:highlight w:val="none"/>
              </w:rPr>
            </w:pPr>
          </w:p>
        </w:tc>
        <w:tc>
          <w:tcPr>
            <w:tcW w:w="1990" w:type="dxa"/>
            <w:gridSpan w:val="2"/>
            <w:noWrap w:val="0"/>
            <w:vAlign w:val="top"/>
          </w:tcPr>
          <w:p w14:paraId="780FD254">
            <w:pPr>
              <w:rPr>
                <w:rFonts w:hint="eastAsia" w:ascii="宋体" w:hAnsi="宋体" w:eastAsia="宋体" w:cs="宋体"/>
                <w:color w:val="auto"/>
                <w:sz w:val="21"/>
                <w:szCs w:val="21"/>
                <w:highlight w:val="none"/>
              </w:rPr>
            </w:pPr>
          </w:p>
        </w:tc>
        <w:tc>
          <w:tcPr>
            <w:tcW w:w="1499" w:type="dxa"/>
            <w:noWrap w:val="0"/>
            <w:vAlign w:val="top"/>
          </w:tcPr>
          <w:p w14:paraId="684C4E56">
            <w:pPr>
              <w:rPr>
                <w:rFonts w:hint="eastAsia" w:ascii="宋体" w:hAnsi="宋体" w:eastAsia="宋体" w:cs="宋体"/>
                <w:color w:val="auto"/>
                <w:sz w:val="21"/>
                <w:szCs w:val="21"/>
                <w:highlight w:val="none"/>
              </w:rPr>
            </w:pPr>
          </w:p>
        </w:tc>
        <w:tc>
          <w:tcPr>
            <w:tcW w:w="1489" w:type="dxa"/>
            <w:noWrap w:val="0"/>
            <w:vAlign w:val="top"/>
          </w:tcPr>
          <w:p w14:paraId="7BC813FB">
            <w:pPr>
              <w:rPr>
                <w:rFonts w:hint="eastAsia" w:ascii="宋体" w:hAnsi="宋体" w:eastAsia="宋体" w:cs="宋体"/>
                <w:color w:val="auto"/>
                <w:sz w:val="21"/>
                <w:szCs w:val="21"/>
                <w:highlight w:val="none"/>
              </w:rPr>
            </w:pPr>
          </w:p>
        </w:tc>
      </w:tr>
      <w:tr w14:paraId="2806F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top"/>
          </w:tcPr>
          <w:p w14:paraId="617AA47A">
            <w:pPr>
              <w:pStyle w:val="37"/>
              <w:spacing w:before="210" w:line="167" w:lineRule="auto"/>
              <w:ind w:left="3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281" w:type="dxa"/>
            <w:gridSpan w:val="2"/>
            <w:noWrap w:val="0"/>
            <w:vAlign w:val="top"/>
          </w:tcPr>
          <w:p w14:paraId="5DF43A10">
            <w:pPr>
              <w:pStyle w:val="37"/>
              <w:spacing w:before="178" w:line="201" w:lineRule="auto"/>
              <w:ind w:left="55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项目负责人</w:t>
            </w:r>
          </w:p>
        </w:tc>
        <w:tc>
          <w:tcPr>
            <w:tcW w:w="946" w:type="dxa"/>
            <w:noWrap w:val="0"/>
            <w:vAlign w:val="top"/>
          </w:tcPr>
          <w:p w14:paraId="1E82F2A0">
            <w:pPr>
              <w:rPr>
                <w:rFonts w:hint="eastAsia" w:ascii="宋体" w:hAnsi="宋体" w:eastAsia="宋体" w:cs="宋体"/>
                <w:color w:val="auto"/>
                <w:sz w:val="21"/>
                <w:szCs w:val="21"/>
                <w:highlight w:val="none"/>
              </w:rPr>
            </w:pPr>
          </w:p>
        </w:tc>
        <w:tc>
          <w:tcPr>
            <w:tcW w:w="1990" w:type="dxa"/>
            <w:gridSpan w:val="2"/>
            <w:noWrap w:val="0"/>
            <w:vAlign w:val="top"/>
          </w:tcPr>
          <w:p w14:paraId="34FB740B">
            <w:pPr>
              <w:rPr>
                <w:rFonts w:hint="eastAsia" w:ascii="宋体" w:hAnsi="宋体" w:eastAsia="宋体" w:cs="宋体"/>
                <w:color w:val="auto"/>
                <w:sz w:val="21"/>
                <w:szCs w:val="21"/>
                <w:highlight w:val="none"/>
              </w:rPr>
            </w:pPr>
          </w:p>
        </w:tc>
        <w:tc>
          <w:tcPr>
            <w:tcW w:w="1499" w:type="dxa"/>
            <w:noWrap w:val="0"/>
            <w:vAlign w:val="top"/>
          </w:tcPr>
          <w:p w14:paraId="73B935FE">
            <w:pPr>
              <w:rPr>
                <w:rFonts w:hint="eastAsia" w:ascii="宋体" w:hAnsi="宋体" w:eastAsia="宋体" w:cs="宋体"/>
                <w:color w:val="auto"/>
                <w:sz w:val="21"/>
                <w:szCs w:val="21"/>
                <w:highlight w:val="none"/>
              </w:rPr>
            </w:pPr>
          </w:p>
        </w:tc>
        <w:tc>
          <w:tcPr>
            <w:tcW w:w="1489" w:type="dxa"/>
            <w:noWrap w:val="0"/>
            <w:vAlign w:val="top"/>
          </w:tcPr>
          <w:p w14:paraId="074898A2">
            <w:pPr>
              <w:rPr>
                <w:rFonts w:hint="eastAsia" w:ascii="宋体" w:hAnsi="宋体" w:eastAsia="宋体" w:cs="宋体"/>
                <w:color w:val="auto"/>
                <w:sz w:val="21"/>
                <w:szCs w:val="21"/>
                <w:highlight w:val="none"/>
              </w:rPr>
            </w:pPr>
          </w:p>
        </w:tc>
      </w:tr>
      <w:tr w14:paraId="77EC5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top"/>
          </w:tcPr>
          <w:p w14:paraId="1AB24371">
            <w:pPr>
              <w:pStyle w:val="37"/>
              <w:spacing w:before="210" w:line="168" w:lineRule="auto"/>
              <w:ind w:left="3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281" w:type="dxa"/>
            <w:gridSpan w:val="2"/>
            <w:noWrap w:val="0"/>
            <w:vAlign w:val="top"/>
          </w:tcPr>
          <w:p w14:paraId="41347A66">
            <w:pPr>
              <w:pStyle w:val="37"/>
              <w:spacing w:before="176" w:line="202" w:lineRule="auto"/>
              <w:ind w:left="44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主要技术人员</w:t>
            </w:r>
          </w:p>
        </w:tc>
        <w:tc>
          <w:tcPr>
            <w:tcW w:w="946" w:type="dxa"/>
            <w:noWrap w:val="0"/>
            <w:vAlign w:val="top"/>
          </w:tcPr>
          <w:p w14:paraId="0878F7CE">
            <w:pPr>
              <w:rPr>
                <w:rFonts w:hint="eastAsia" w:ascii="宋体" w:hAnsi="宋体" w:eastAsia="宋体" w:cs="宋体"/>
                <w:color w:val="auto"/>
                <w:sz w:val="21"/>
                <w:szCs w:val="21"/>
                <w:highlight w:val="none"/>
              </w:rPr>
            </w:pPr>
          </w:p>
        </w:tc>
        <w:tc>
          <w:tcPr>
            <w:tcW w:w="1990" w:type="dxa"/>
            <w:gridSpan w:val="2"/>
            <w:noWrap w:val="0"/>
            <w:vAlign w:val="top"/>
          </w:tcPr>
          <w:p w14:paraId="2FBA9ABC">
            <w:pPr>
              <w:rPr>
                <w:rFonts w:hint="eastAsia" w:ascii="宋体" w:hAnsi="宋体" w:eastAsia="宋体" w:cs="宋体"/>
                <w:color w:val="auto"/>
                <w:sz w:val="21"/>
                <w:szCs w:val="21"/>
                <w:highlight w:val="none"/>
              </w:rPr>
            </w:pPr>
          </w:p>
        </w:tc>
        <w:tc>
          <w:tcPr>
            <w:tcW w:w="1499" w:type="dxa"/>
            <w:noWrap w:val="0"/>
            <w:vAlign w:val="top"/>
          </w:tcPr>
          <w:p w14:paraId="532148A5">
            <w:pPr>
              <w:rPr>
                <w:rFonts w:hint="eastAsia" w:ascii="宋体" w:hAnsi="宋体" w:eastAsia="宋体" w:cs="宋体"/>
                <w:color w:val="auto"/>
                <w:sz w:val="21"/>
                <w:szCs w:val="21"/>
                <w:highlight w:val="none"/>
              </w:rPr>
            </w:pPr>
          </w:p>
        </w:tc>
        <w:tc>
          <w:tcPr>
            <w:tcW w:w="1489" w:type="dxa"/>
            <w:noWrap w:val="0"/>
            <w:vAlign w:val="top"/>
          </w:tcPr>
          <w:p w14:paraId="6135645D">
            <w:pPr>
              <w:rPr>
                <w:rFonts w:hint="eastAsia" w:ascii="宋体" w:hAnsi="宋体" w:eastAsia="宋体" w:cs="宋体"/>
                <w:color w:val="auto"/>
                <w:sz w:val="21"/>
                <w:szCs w:val="21"/>
                <w:highlight w:val="none"/>
              </w:rPr>
            </w:pPr>
          </w:p>
        </w:tc>
      </w:tr>
      <w:tr w14:paraId="44C08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top"/>
          </w:tcPr>
          <w:p w14:paraId="7DEDAAC0">
            <w:pPr>
              <w:pStyle w:val="37"/>
              <w:spacing w:before="215" w:line="165" w:lineRule="auto"/>
              <w:ind w:left="3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281" w:type="dxa"/>
            <w:gridSpan w:val="2"/>
            <w:noWrap w:val="0"/>
            <w:vAlign w:val="top"/>
          </w:tcPr>
          <w:p w14:paraId="79A6C816">
            <w:pPr>
              <w:pStyle w:val="37"/>
              <w:spacing w:before="178" w:line="202" w:lineRule="auto"/>
              <w:ind w:left="18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投标文件编制人员</w:t>
            </w:r>
          </w:p>
        </w:tc>
        <w:tc>
          <w:tcPr>
            <w:tcW w:w="946" w:type="dxa"/>
            <w:noWrap w:val="0"/>
            <w:vAlign w:val="top"/>
          </w:tcPr>
          <w:p w14:paraId="5D53857E">
            <w:pPr>
              <w:rPr>
                <w:rFonts w:hint="eastAsia" w:ascii="宋体" w:hAnsi="宋体" w:eastAsia="宋体" w:cs="宋体"/>
                <w:color w:val="auto"/>
                <w:sz w:val="21"/>
                <w:szCs w:val="21"/>
                <w:highlight w:val="none"/>
              </w:rPr>
            </w:pPr>
          </w:p>
        </w:tc>
        <w:tc>
          <w:tcPr>
            <w:tcW w:w="1990" w:type="dxa"/>
            <w:gridSpan w:val="2"/>
            <w:noWrap w:val="0"/>
            <w:vAlign w:val="top"/>
          </w:tcPr>
          <w:p w14:paraId="72CA857A">
            <w:pPr>
              <w:rPr>
                <w:rFonts w:hint="eastAsia" w:ascii="宋体" w:hAnsi="宋体" w:eastAsia="宋体" w:cs="宋体"/>
                <w:color w:val="auto"/>
                <w:sz w:val="21"/>
                <w:szCs w:val="21"/>
                <w:highlight w:val="none"/>
              </w:rPr>
            </w:pPr>
          </w:p>
        </w:tc>
        <w:tc>
          <w:tcPr>
            <w:tcW w:w="1499" w:type="dxa"/>
            <w:noWrap w:val="0"/>
            <w:vAlign w:val="top"/>
          </w:tcPr>
          <w:p w14:paraId="7B5BBC47">
            <w:pPr>
              <w:rPr>
                <w:rFonts w:hint="eastAsia" w:ascii="宋体" w:hAnsi="宋体" w:eastAsia="宋体" w:cs="宋体"/>
                <w:color w:val="auto"/>
                <w:sz w:val="21"/>
                <w:szCs w:val="21"/>
                <w:highlight w:val="none"/>
              </w:rPr>
            </w:pPr>
          </w:p>
        </w:tc>
        <w:tc>
          <w:tcPr>
            <w:tcW w:w="1489" w:type="dxa"/>
            <w:noWrap w:val="0"/>
            <w:vAlign w:val="top"/>
          </w:tcPr>
          <w:p w14:paraId="5927FD52">
            <w:pPr>
              <w:rPr>
                <w:rFonts w:hint="eastAsia" w:ascii="宋体" w:hAnsi="宋体" w:eastAsia="宋体" w:cs="宋体"/>
                <w:color w:val="auto"/>
                <w:sz w:val="21"/>
                <w:szCs w:val="21"/>
                <w:highlight w:val="none"/>
              </w:rPr>
            </w:pPr>
          </w:p>
        </w:tc>
      </w:tr>
      <w:tr w14:paraId="3833F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noWrap w:val="0"/>
            <w:vAlign w:val="top"/>
          </w:tcPr>
          <w:p w14:paraId="5EF7DD77">
            <w:pPr>
              <w:pStyle w:val="37"/>
              <w:spacing w:before="178" w:line="198" w:lineRule="auto"/>
              <w:ind w:left="120"/>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说明：同一职务有多人担任（如主要技术人员</w:t>
            </w:r>
            <w:r>
              <w:rPr>
                <w:rFonts w:hint="eastAsia" w:ascii="宋体" w:hAnsi="宋体" w:eastAsia="宋体" w:cs="宋体"/>
                <w:b/>
                <w:bCs/>
                <w:color w:val="auto"/>
                <w:spacing w:val="-42"/>
                <w:w w:val="95"/>
                <w:sz w:val="21"/>
                <w:szCs w:val="21"/>
                <w:highlight w:val="none"/>
              </w:rPr>
              <w:t>），</w:t>
            </w:r>
            <w:r>
              <w:rPr>
                <w:rFonts w:hint="eastAsia" w:ascii="宋体" w:hAnsi="宋体" w:eastAsia="宋体" w:cs="宋体"/>
                <w:b/>
                <w:bCs/>
                <w:color w:val="auto"/>
                <w:spacing w:val="-1"/>
                <w:sz w:val="21"/>
                <w:szCs w:val="21"/>
                <w:highlight w:val="none"/>
              </w:rPr>
              <w:t>应分行填写。</w:t>
            </w:r>
          </w:p>
        </w:tc>
      </w:tr>
      <w:tr w14:paraId="0F0FC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noWrap w:val="0"/>
            <w:vAlign w:val="top"/>
          </w:tcPr>
          <w:p w14:paraId="7817C477">
            <w:pPr>
              <w:pStyle w:val="37"/>
              <w:spacing w:before="177" w:line="198" w:lineRule="auto"/>
              <w:ind w:left="2683"/>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投标（响应）供应商关联关系情况</w:t>
            </w:r>
          </w:p>
        </w:tc>
      </w:tr>
      <w:tr w14:paraId="1E48B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top"/>
          </w:tcPr>
          <w:p w14:paraId="7985DF5A">
            <w:pPr>
              <w:pStyle w:val="37"/>
              <w:spacing w:before="178" w:line="202" w:lineRule="auto"/>
              <w:ind w:left="14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2281" w:type="dxa"/>
            <w:gridSpan w:val="2"/>
            <w:noWrap w:val="0"/>
            <w:vAlign w:val="top"/>
          </w:tcPr>
          <w:p w14:paraId="778FBC3D">
            <w:pPr>
              <w:pStyle w:val="37"/>
              <w:spacing w:before="177" w:line="202"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关联关系类型</w:t>
            </w:r>
          </w:p>
        </w:tc>
        <w:tc>
          <w:tcPr>
            <w:tcW w:w="1737" w:type="dxa"/>
            <w:gridSpan w:val="2"/>
            <w:noWrap w:val="0"/>
            <w:vAlign w:val="top"/>
          </w:tcPr>
          <w:p w14:paraId="5409DB59">
            <w:pPr>
              <w:pStyle w:val="37"/>
              <w:spacing w:before="177" w:line="203" w:lineRule="auto"/>
              <w:ind w:left="16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关联主体名称</w:t>
            </w:r>
          </w:p>
        </w:tc>
        <w:tc>
          <w:tcPr>
            <w:tcW w:w="4187" w:type="dxa"/>
            <w:gridSpan w:val="3"/>
            <w:noWrap w:val="0"/>
            <w:vAlign w:val="top"/>
          </w:tcPr>
          <w:p w14:paraId="14645D70">
            <w:pPr>
              <w:pStyle w:val="37"/>
              <w:spacing w:before="177" w:line="204" w:lineRule="auto"/>
              <w:ind w:left="186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备注</w:t>
            </w:r>
          </w:p>
        </w:tc>
      </w:tr>
      <w:tr w14:paraId="74188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noWrap w:val="0"/>
            <w:vAlign w:val="top"/>
          </w:tcPr>
          <w:p w14:paraId="5D18CEFE">
            <w:pPr>
              <w:spacing w:line="290" w:lineRule="auto"/>
              <w:rPr>
                <w:rFonts w:hint="eastAsia" w:ascii="宋体" w:hAnsi="宋体" w:eastAsia="宋体" w:cs="宋体"/>
                <w:color w:val="auto"/>
                <w:sz w:val="21"/>
                <w:szCs w:val="21"/>
                <w:highlight w:val="none"/>
              </w:rPr>
            </w:pPr>
          </w:p>
          <w:p w14:paraId="3DAF46E1">
            <w:pPr>
              <w:spacing w:line="290" w:lineRule="auto"/>
              <w:rPr>
                <w:rFonts w:hint="eastAsia" w:ascii="宋体" w:hAnsi="宋体" w:eastAsia="宋体" w:cs="宋体"/>
                <w:color w:val="auto"/>
                <w:sz w:val="21"/>
                <w:szCs w:val="21"/>
                <w:highlight w:val="none"/>
              </w:rPr>
            </w:pPr>
          </w:p>
          <w:p w14:paraId="4384709D">
            <w:pPr>
              <w:pStyle w:val="37"/>
              <w:spacing w:before="103" w:line="169" w:lineRule="auto"/>
              <w:ind w:left="3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81" w:type="dxa"/>
            <w:gridSpan w:val="2"/>
            <w:noWrap w:val="0"/>
            <w:vAlign w:val="top"/>
          </w:tcPr>
          <w:p w14:paraId="6FEFCF37">
            <w:pPr>
              <w:spacing w:line="274" w:lineRule="auto"/>
              <w:rPr>
                <w:rFonts w:hint="eastAsia" w:ascii="宋体" w:hAnsi="宋体" w:eastAsia="宋体" w:cs="宋体"/>
                <w:color w:val="auto"/>
                <w:sz w:val="21"/>
                <w:szCs w:val="21"/>
                <w:highlight w:val="none"/>
              </w:rPr>
            </w:pPr>
          </w:p>
          <w:p w14:paraId="4F7A6606">
            <w:pPr>
              <w:spacing w:line="274" w:lineRule="auto"/>
              <w:rPr>
                <w:rFonts w:hint="eastAsia" w:ascii="宋体" w:hAnsi="宋体" w:eastAsia="宋体" w:cs="宋体"/>
                <w:color w:val="auto"/>
                <w:sz w:val="21"/>
                <w:szCs w:val="21"/>
                <w:highlight w:val="none"/>
              </w:rPr>
            </w:pPr>
          </w:p>
          <w:p w14:paraId="634F2DFF">
            <w:pPr>
              <w:pStyle w:val="37"/>
              <w:spacing w:before="103" w:line="203" w:lineRule="auto"/>
              <w:ind w:left="67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控股股东</w:t>
            </w:r>
          </w:p>
        </w:tc>
        <w:tc>
          <w:tcPr>
            <w:tcW w:w="1737" w:type="dxa"/>
            <w:gridSpan w:val="2"/>
            <w:noWrap w:val="0"/>
            <w:vAlign w:val="top"/>
          </w:tcPr>
          <w:p w14:paraId="75EC2CAF">
            <w:pPr>
              <w:rPr>
                <w:rFonts w:hint="eastAsia" w:ascii="宋体" w:hAnsi="宋体" w:eastAsia="宋体" w:cs="宋体"/>
                <w:color w:val="auto"/>
                <w:sz w:val="21"/>
                <w:szCs w:val="21"/>
                <w:highlight w:val="none"/>
              </w:rPr>
            </w:pPr>
          </w:p>
        </w:tc>
        <w:tc>
          <w:tcPr>
            <w:tcW w:w="4187" w:type="dxa"/>
            <w:gridSpan w:val="3"/>
            <w:noWrap w:val="0"/>
            <w:vAlign w:val="top"/>
          </w:tcPr>
          <w:p w14:paraId="320BD52B">
            <w:pPr>
              <w:pStyle w:val="37"/>
              <w:spacing w:before="27" w:line="200" w:lineRule="auto"/>
              <w:ind w:left="98" w:right="116" w:firstLine="19"/>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指出资额（或持有股份）占投标（响应）供应商资</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8"/>
                <w:sz w:val="21"/>
                <w:szCs w:val="21"/>
                <w:highlight w:val="none"/>
              </w:rPr>
              <w:t>本总额（或股本总额）50%以上的股东，以及出资额</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5"/>
                <w:sz w:val="21"/>
                <w:szCs w:val="21"/>
                <w:highlight w:val="none"/>
              </w:rPr>
              <w:t>（或持有股份）的比例虽然不足</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5"/>
                <w:sz w:val="21"/>
                <w:szCs w:val="21"/>
                <w:highlight w:val="none"/>
              </w:rPr>
              <w:t>50%，但依</w:t>
            </w:r>
            <w:r>
              <w:rPr>
                <w:rFonts w:hint="eastAsia" w:ascii="宋体" w:hAnsi="宋体" w:eastAsia="宋体" w:cs="宋体"/>
                <w:color w:val="auto"/>
                <w:spacing w:val="-6"/>
                <w:sz w:val="21"/>
                <w:szCs w:val="21"/>
                <w:highlight w:val="none"/>
              </w:rPr>
              <w:t>其出资</w:t>
            </w:r>
            <w:r>
              <w:rPr>
                <w:rFonts w:hint="eastAsia" w:ascii="宋体" w:hAnsi="宋体" w:eastAsia="宋体" w:cs="宋体"/>
                <w:color w:val="auto"/>
                <w:spacing w:val="-9"/>
                <w:sz w:val="21"/>
                <w:szCs w:val="21"/>
                <w:highlight w:val="none"/>
              </w:rPr>
              <w:t>额（或持有股份）所享有的表决权已足以对投标（响</w:t>
            </w:r>
            <w:r>
              <w:rPr>
                <w:rFonts w:hint="eastAsia" w:ascii="宋体" w:hAnsi="宋体" w:eastAsia="宋体" w:cs="宋体"/>
                <w:color w:val="auto"/>
                <w:spacing w:val="18"/>
                <w:w w:val="101"/>
                <w:sz w:val="21"/>
                <w:szCs w:val="21"/>
                <w:highlight w:val="none"/>
              </w:rPr>
              <w:t xml:space="preserve"> </w:t>
            </w:r>
            <w:r>
              <w:rPr>
                <w:rFonts w:hint="eastAsia" w:ascii="宋体" w:hAnsi="宋体" w:eastAsia="宋体" w:cs="宋体"/>
                <w:color w:val="auto"/>
                <w:sz w:val="21"/>
                <w:szCs w:val="21"/>
                <w:highlight w:val="none"/>
              </w:rPr>
              <w:t>应）供应商股东会（或股东大会）的决议产生重要</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2"/>
                <w:sz w:val="21"/>
                <w:szCs w:val="21"/>
                <w:highlight w:val="none"/>
              </w:rPr>
              <w:t>影响的股东。</w:t>
            </w:r>
          </w:p>
        </w:tc>
      </w:tr>
      <w:tr w14:paraId="189CF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top"/>
          </w:tcPr>
          <w:p w14:paraId="2D9BD0FC">
            <w:pPr>
              <w:pStyle w:val="37"/>
              <w:spacing w:before="251" w:line="168" w:lineRule="auto"/>
              <w:ind w:left="3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281" w:type="dxa"/>
            <w:gridSpan w:val="2"/>
            <w:noWrap w:val="0"/>
            <w:vAlign w:val="top"/>
          </w:tcPr>
          <w:p w14:paraId="53B58986">
            <w:pPr>
              <w:pStyle w:val="37"/>
              <w:spacing w:before="217" w:line="203" w:lineRule="auto"/>
              <w:ind w:left="67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管理关系</w:t>
            </w:r>
          </w:p>
        </w:tc>
        <w:tc>
          <w:tcPr>
            <w:tcW w:w="1737" w:type="dxa"/>
            <w:gridSpan w:val="2"/>
            <w:noWrap w:val="0"/>
            <w:vAlign w:val="top"/>
          </w:tcPr>
          <w:p w14:paraId="300749D1">
            <w:pPr>
              <w:rPr>
                <w:rFonts w:hint="eastAsia" w:ascii="宋体" w:hAnsi="宋体" w:eastAsia="宋体" w:cs="宋体"/>
                <w:color w:val="auto"/>
                <w:sz w:val="21"/>
                <w:szCs w:val="21"/>
                <w:highlight w:val="none"/>
              </w:rPr>
            </w:pPr>
          </w:p>
        </w:tc>
        <w:tc>
          <w:tcPr>
            <w:tcW w:w="4187" w:type="dxa"/>
            <w:gridSpan w:val="3"/>
            <w:noWrap w:val="0"/>
            <w:vAlign w:val="top"/>
          </w:tcPr>
          <w:p w14:paraId="117131CA">
            <w:pPr>
              <w:pStyle w:val="37"/>
              <w:spacing w:before="43" w:line="190" w:lineRule="auto"/>
              <w:ind w:left="120" w:right="2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指对投标（响应）供应商不具有出资持</w:t>
            </w:r>
            <w:r>
              <w:rPr>
                <w:rFonts w:hint="eastAsia" w:ascii="宋体" w:hAnsi="宋体" w:eastAsia="宋体" w:cs="宋体"/>
                <w:color w:val="auto"/>
                <w:spacing w:val="-3"/>
                <w:sz w:val="21"/>
                <w:szCs w:val="21"/>
                <w:highlight w:val="none"/>
              </w:rPr>
              <w:t>股关系，但对其存在管理关系的主体。</w:t>
            </w:r>
          </w:p>
        </w:tc>
      </w:tr>
      <w:tr w14:paraId="5D11C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noWrap w:val="0"/>
            <w:vAlign w:val="top"/>
          </w:tcPr>
          <w:p w14:paraId="6236A497">
            <w:pPr>
              <w:pStyle w:val="37"/>
              <w:spacing w:before="42" w:line="180" w:lineRule="auto"/>
              <w:ind w:left="120"/>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说明：同一关联关系类型有多个主体的，应分行填写。</w:t>
            </w:r>
          </w:p>
        </w:tc>
      </w:tr>
    </w:tbl>
    <w:p w14:paraId="30BAE1C1">
      <w:pPr>
        <w:rPr>
          <w:rFonts w:hint="eastAsia" w:ascii="宋体" w:hAnsi="宋体" w:eastAsia="宋体" w:cs="宋体"/>
          <w:color w:val="auto"/>
          <w:sz w:val="21"/>
          <w:szCs w:val="21"/>
          <w:highlight w:val="none"/>
        </w:rPr>
      </w:pPr>
    </w:p>
    <w:p w14:paraId="28B0CA03">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注</w:t>
      </w:r>
      <w:r>
        <w:rPr>
          <w:rFonts w:hint="eastAsia" w:ascii="宋体" w:hAnsi="宋体" w:eastAsia="宋体" w:cs="宋体"/>
          <w:color w:val="auto"/>
          <w:sz w:val="21"/>
          <w:szCs w:val="21"/>
          <w:highlight w:val="none"/>
        </w:rPr>
        <w:t>：</w:t>
      </w:r>
    </w:p>
    <w:p w14:paraId="56BD159C">
      <w:pPr>
        <w:numPr>
          <w:ilvl w:val="0"/>
          <w:numId w:val="5"/>
        </w:numPr>
        <w:spacing w:line="440" w:lineRule="exact"/>
        <w:ind w:left="0" w:leftChars="0" w:firstLine="454"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主要经营负责人</w:t>
      </w:r>
      <w:r>
        <w:rPr>
          <w:rFonts w:hint="eastAsia" w:ascii="宋体" w:hAnsi="宋体" w:eastAsia="宋体" w:cs="宋体"/>
          <w:b w:val="0"/>
          <w:bCs w:val="0"/>
          <w:color w:val="auto"/>
          <w:sz w:val="21"/>
          <w:szCs w:val="21"/>
          <w:highlight w:val="none"/>
          <w:lang w:val="en-US" w:eastAsia="zh-CN"/>
        </w:rPr>
        <w:t>即实际控制人，是指通过投资关系、协议或者其他安排，能够实际支配公司行为的人。</w:t>
      </w:r>
    </w:p>
    <w:p w14:paraId="44E79A62">
      <w:pPr>
        <w:numPr>
          <w:ilvl w:val="0"/>
          <w:numId w:val="5"/>
        </w:numPr>
        <w:spacing w:line="440" w:lineRule="exact"/>
        <w:ind w:left="0" w:leftChars="0" w:firstLine="454"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如未有相关情况，请在相应栏填写“无”。</w:t>
      </w:r>
    </w:p>
    <w:p w14:paraId="3000A481">
      <w:pPr>
        <w:numPr>
          <w:ilvl w:val="0"/>
          <w:numId w:val="5"/>
        </w:numPr>
        <w:spacing w:line="440" w:lineRule="exact"/>
        <w:ind w:left="0" w:leftChars="0" w:firstLine="454" w:firstLineChars="0"/>
        <w:rPr>
          <w:rFonts w:hint="eastAsia" w:ascii="宋体" w:hAnsi="宋体" w:eastAsia="宋体" w:cs="宋体"/>
          <w:b w:val="0"/>
          <w:bCs w:val="0"/>
          <w:color w:val="auto"/>
          <w:sz w:val="21"/>
          <w:szCs w:val="21"/>
          <w:highlight w:val="none"/>
          <w:u w:val="double"/>
          <w:lang w:val="en-US" w:eastAsia="zh-CN"/>
        </w:rPr>
      </w:pPr>
      <w:r>
        <w:rPr>
          <w:rFonts w:hint="eastAsia" w:ascii="宋体" w:hAnsi="宋体" w:eastAsia="宋体" w:cs="宋体"/>
          <w:b w:val="0"/>
          <w:bCs w:val="0"/>
          <w:color w:val="auto"/>
          <w:sz w:val="21"/>
          <w:szCs w:val="21"/>
          <w:highlight w:val="none"/>
          <w:lang w:eastAsia="zh-CN"/>
        </w:rPr>
        <w:t>投标供应商</w:t>
      </w:r>
      <w:r>
        <w:rPr>
          <w:rFonts w:hint="eastAsia" w:ascii="宋体" w:hAnsi="宋体" w:eastAsia="宋体" w:cs="宋体"/>
          <w:b w:val="0"/>
          <w:bCs w:val="0"/>
          <w:color w:val="auto"/>
          <w:sz w:val="21"/>
          <w:szCs w:val="21"/>
          <w:highlight w:val="none"/>
        </w:rPr>
        <w:t>应如实申报本单位控股及管理关系人员信息，如存在隐瞒真实情况，提供虚假资料的，经查实，主管部门将依据《深圳经济特区政府采购条例》第五十七条的规定进行处罚。</w:t>
      </w:r>
    </w:p>
    <w:p w14:paraId="3A0C2C1A">
      <w:pPr>
        <w:ind w:firstLine="0" w:firstLineChars="0"/>
        <w:rPr>
          <w:rFonts w:hint="default" w:ascii="Times New Roman" w:hAnsi="Times New Roman" w:eastAsia="宋体" w:cs="Times New Roman"/>
          <w:lang w:val="en-US" w:eastAsia="zh-CN"/>
        </w:rPr>
      </w:pPr>
    </w:p>
    <w:p w14:paraId="4FD35E04">
      <w:pPr>
        <w:ind w:firstLine="0" w:firstLineChars="0"/>
        <w:rPr>
          <w:rFonts w:hint="default" w:ascii="Times New Roman" w:hAnsi="Times New Roman" w:eastAsia="宋体" w:cs="Times New Roman"/>
          <w:lang w:val="en-US" w:eastAsia="zh-CN"/>
        </w:rPr>
      </w:pPr>
    </w:p>
    <w:p w14:paraId="7DF4ED09">
      <w:pPr>
        <w:keepNext/>
        <w:keepLines/>
        <w:widowControl w:val="0"/>
        <w:numPr>
          <w:ilvl w:val="0"/>
          <w:numId w:val="6"/>
        </w:numPr>
        <w:spacing w:before="260" w:after="260" w:line="240" w:lineRule="auto"/>
        <w:ind w:left="420" w:hanging="420"/>
        <w:jc w:val="center"/>
        <w:outlineLvl w:val="1"/>
        <w:rPr>
          <w:rFonts w:ascii="宋体" w:hAnsi="宋体" w:eastAsia="宋体" w:cs="Times New Roman"/>
          <w:b/>
          <w:bCs/>
          <w:color w:val="auto"/>
          <w:kern w:val="2"/>
          <w:sz w:val="30"/>
          <w:szCs w:val="30"/>
          <w:highlight w:val="none"/>
          <w:lang w:val="en-US" w:eastAsia="zh-CN" w:bidi="ar-SA"/>
        </w:rPr>
      </w:pPr>
      <w:bookmarkStart w:id="6" w:name="_Toc28840"/>
      <w:r>
        <w:rPr>
          <w:rFonts w:hint="eastAsia" w:ascii="宋体" w:hAnsi="宋体" w:eastAsia="宋体" w:cs="Times New Roman"/>
          <w:b/>
          <w:bCs/>
          <w:color w:val="auto"/>
          <w:kern w:val="2"/>
          <w:sz w:val="30"/>
          <w:szCs w:val="30"/>
          <w:highlight w:val="none"/>
          <w:lang w:val="en-US" w:eastAsia="zh-CN" w:bidi="ar-SA"/>
        </w:rPr>
        <w:t>《供应商基本情况表》附件</w:t>
      </w:r>
      <w:bookmarkEnd w:id="6"/>
    </w:p>
    <w:p w14:paraId="21D98829">
      <w:pPr>
        <w:pStyle w:val="1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投标时需提供《供应商基本情况表》附件，该要求作为供应商资格性审查的证明材料。</w:t>
      </w:r>
    </w:p>
    <w:p w14:paraId="29E788B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注：</w:t>
      </w:r>
    </w:p>
    <w:p w14:paraId="23586F6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1.投标供应商如实提供上述人员的社会保险证明，如上述人员的社会保险未由投标供应商缴纳，亦需提供相应单位为其缴纳的社会保险证明。</w:t>
      </w:r>
    </w:p>
    <w:p w14:paraId="2561D42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2.投标供应商为新成立企业且成立时间不足一个月可提供加盖投标供应商公章的情况说明或者证明材料亦视为符合。</w:t>
      </w:r>
    </w:p>
    <w:p w14:paraId="79197F3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3.若为退休人员，提供退休证明。</w:t>
      </w:r>
    </w:p>
    <w:p w14:paraId="1EAE90D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4.如依法不需要缴纳社会保险的，提供相应文件证明。</w:t>
      </w:r>
    </w:p>
    <w:p w14:paraId="0E3B118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5.若因为社保部门或税务部门原因无法提供的，需提供劳动合同及社保部门或税务部门官方通知证明（或官网公告截图）。</w:t>
      </w:r>
    </w:p>
    <w:p w14:paraId="04E6E846">
      <w:pPr>
        <w:pStyle w:val="1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6.如本项目未安排项目投标授权代表人、项目负责人、主要技术人员的，无需提供投标授权代表人、项目负责人、主要技术人员的社保。</w:t>
      </w:r>
    </w:p>
    <w:p w14:paraId="3FDB32CC">
      <w:pPr>
        <w:pStyle w:val="1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color w:val="auto"/>
          <w:sz w:val="21"/>
          <w:szCs w:val="21"/>
          <w:highlight w:val="none"/>
          <w:lang w:val="en-US" w:eastAsia="zh-CN"/>
        </w:rPr>
        <w:t>7.</w:t>
      </w:r>
      <w:r>
        <w:rPr>
          <w:rFonts w:hint="default" w:ascii="宋体" w:hAnsi="宋体" w:eastAsia="宋体" w:cs="宋体"/>
          <w:color w:val="auto"/>
          <w:sz w:val="21"/>
          <w:szCs w:val="21"/>
          <w:highlight w:val="none"/>
        </w:rPr>
        <w:t>主要经营负责人即实际控制人，是指通过投资关系、协议或者其他安排，能够实际支配公司行为的人。</w:t>
      </w:r>
      <w:r>
        <w:rPr>
          <w:rFonts w:hint="eastAsia" w:ascii="宋体" w:hAnsi="宋体" w:eastAsia="宋体" w:cs="宋体"/>
          <w:color w:val="auto"/>
          <w:sz w:val="21"/>
          <w:szCs w:val="21"/>
          <w:highlight w:val="none"/>
          <w:lang w:val="en-US" w:eastAsia="zh-CN"/>
        </w:rPr>
        <w:t>如</w:t>
      </w:r>
      <w:r>
        <w:rPr>
          <w:rFonts w:hint="eastAsia" w:hAnsi="宋体" w:eastAsia="宋体" w:cs="宋体"/>
          <w:color w:val="auto"/>
          <w:sz w:val="21"/>
          <w:szCs w:val="21"/>
          <w:highlight w:val="none"/>
          <w:lang w:val="en-US" w:eastAsia="zh-CN"/>
        </w:rPr>
        <w:t>投标供应商</w:t>
      </w:r>
      <w:r>
        <w:rPr>
          <w:rFonts w:hint="eastAsia" w:ascii="宋体" w:hAnsi="宋体" w:eastAsia="宋体" w:cs="宋体"/>
          <w:color w:val="auto"/>
          <w:sz w:val="21"/>
          <w:szCs w:val="21"/>
          <w:highlight w:val="none"/>
          <w:lang w:val="en-US" w:eastAsia="zh-CN"/>
        </w:rPr>
        <w:t>无</w:t>
      </w:r>
      <w:r>
        <w:rPr>
          <w:rFonts w:hint="default" w:ascii="宋体" w:hAnsi="宋体" w:eastAsia="宋体" w:cs="宋体"/>
          <w:color w:val="auto"/>
          <w:sz w:val="21"/>
          <w:szCs w:val="21"/>
          <w:highlight w:val="none"/>
        </w:rPr>
        <w:t>主要经营负责人</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无需提供主要经营负责人的社保</w:t>
      </w:r>
      <w:r>
        <w:rPr>
          <w:rFonts w:hint="eastAsia" w:hAnsi="宋体" w:eastAsia="宋体" w:cs="宋体"/>
          <w:color w:val="auto"/>
          <w:sz w:val="21"/>
          <w:szCs w:val="21"/>
          <w:highlight w:val="none"/>
          <w:lang w:eastAsia="zh-CN"/>
        </w:rPr>
        <w:t>。</w:t>
      </w:r>
    </w:p>
    <w:p w14:paraId="6CF5D64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请供应商按以下格式提供上述涉及人员近三个月（含开标当月）中的任意一个月的社保缴纳情况以及企业股权关系证明。（注：以下内容将作为评审委员会和主管部门判定本项目不同投标供应商是否涉嫌、属于串通投标的重要依据，请供应商认真填报，并保证所填信息的真实、准确和完整。）</w:t>
      </w:r>
    </w:p>
    <w:p w14:paraId="6A4040A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（1）社保缴纳情况证明材料：</w:t>
      </w:r>
    </w:p>
    <w:p w14:paraId="0594B5F9">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法定代表人</w:t>
      </w:r>
    </w:p>
    <w:p w14:paraId="1AD637E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姓名：</w:t>
      </w:r>
    </w:p>
    <w:p w14:paraId="2FA0B96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身份证复印件（正反面）：</w:t>
      </w:r>
    </w:p>
    <w:p w14:paraId="19FC8FE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近三个月（含开标当月）中的任意一个月的社保缴纳凭证：</w:t>
      </w:r>
    </w:p>
    <w:p w14:paraId="2AE4BB5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p>
    <w:p w14:paraId="53747B88">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单位负责人（如有）</w:t>
      </w:r>
    </w:p>
    <w:p w14:paraId="08FABEE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姓名：</w:t>
      </w:r>
    </w:p>
    <w:p w14:paraId="0C75281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身份证复印件（正反面）：</w:t>
      </w:r>
    </w:p>
    <w:p w14:paraId="03C2A0A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近三个月（含开标当月）中的任意一个月的社保缴纳凭证：</w:t>
      </w:r>
    </w:p>
    <w:p w14:paraId="1FB7BF8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p>
    <w:p w14:paraId="587A8149">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主要经营负责人（如有）</w:t>
      </w:r>
    </w:p>
    <w:p w14:paraId="499120B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姓名：</w:t>
      </w:r>
    </w:p>
    <w:p w14:paraId="613E0A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身份证复印件（正反面）：</w:t>
      </w:r>
    </w:p>
    <w:p w14:paraId="6D140EE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近三个月（含开标当月）中的任意一个月的社保缴纳凭证：</w:t>
      </w:r>
    </w:p>
    <w:p w14:paraId="067BEA9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p>
    <w:p w14:paraId="026FBE0E">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项目投标授权代表人</w:t>
      </w:r>
    </w:p>
    <w:p w14:paraId="096B883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姓名：</w:t>
      </w:r>
    </w:p>
    <w:p w14:paraId="78B18CF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color w:val="auto"/>
          <w:szCs w:val="21"/>
          <w:highlight w:val="none"/>
        </w:rPr>
        <w:t>身</w:t>
      </w:r>
      <w:r>
        <w:rPr>
          <w:rFonts w:hint="eastAsia" w:ascii="宋体" w:hAnsi="宋体" w:eastAsia="宋体" w:cs="宋体"/>
          <w:b w:val="0"/>
          <w:bCs w:val="0"/>
          <w:color w:val="auto"/>
          <w:kern w:val="2"/>
          <w:sz w:val="21"/>
          <w:szCs w:val="21"/>
          <w:highlight w:val="none"/>
          <w:lang w:val="en-US" w:eastAsia="zh-CN" w:bidi="ar-SA"/>
        </w:rPr>
        <w:t>份证复印件（正反面）：</w:t>
      </w:r>
    </w:p>
    <w:p w14:paraId="5AB5E1B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近三个月（含开标当月）中的任意一个月的社保缴纳凭证：</w:t>
      </w:r>
    </w:p>
    <w:p w14:paraId="6BBBE1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p>
    <w:p w14:paraId="6CDFEE6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项目负责人</w:t>
      </w:r>
    </w:p>
    <w:p w14:paraId="585605F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姓名：</w:t>
      </w:r>
    </w:p>
    <w:p w14:paraId="1AD25C2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身份证复印件（正反面）：</w:t>
      </w:r>
    </w:p>
    <w:p w14:paraId="3C3E19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近三个月（含开标当月）中的任意一个月的社保缴纳凭证：</w:t>
      </w:r>
    </w:p>
    <w:p w14:paraId="56E1A8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p>
    <w:p w14:paraId="6963290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主要技术人员（有多人担任，应分行填写）</w:t>
      </w:r>
    </w:p>
    <w:p w14:paraId="2CD44F3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姓名：</w:t>
      </w:r>
    </w:p>
    <w:p w14:paraId="387D388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身份证复印件（正反面）：</w:t>
      </w:r>
    </w:p>
    <w:p w14:paraId="3174290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近三个月（含开标当月）中的任意一个月的社保缴纳凭证：</w:t>
      </w:r>
    </w:p>
    <w:p w14:paraId="453AD25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p>
    <w:p w14:paraId="13765E0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投标文件编制人员（有多人担任，应分行填写）</w:t>
      </w:r>
    </w:p>
    <w:p w14:paraId="65B43C9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姓名：</w:t>
      </w:r>
    </w:p>
    <w:p w14:paraId="02492C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身份证复印件（正反面）：</w:t>
      </w:r>
    </w:p>
    <w:p w14:paraId="6D4422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近三个月（含开标当月）中的任意一个月的社保缴纳凭证：</w:t>
      </w:r>
    </w:p>
    <w:p w14:paraId="0F6F5B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（2）企业股权关系证明材料</w:t>
      </w:r>
      <w:r>
        <w:rPr>
          <w:rFonts w:hint="eastAsia" w:ascii="宋体" w:hAnsi="宋体" w:eastAsia="宋体" w:cs="宋体"/>
          <w:b w:val="0"/>
          <w:bCs w:val="0"/>
          <w:color w:val="auto"/>
          <w:kern w:val="2"/>
          <w:sz w:val="21"/>
          <w:szCs w:val="21"/>
          <w:highlight w:val="none"/>
          <w:u w:val="double"/>
          <w:lang w:val="en-US" w:eastAsia="zh-CN" w:bidi="ar-SA"/>
        </w:rPr>
        <w:t>（投标人根据自身情况提供证明材料）</w:t>
      </w:r>
      <w:r>
        <w:rPr>
          <w:rFonts w:hint="eastAsia" w:ascii="宋体" w:hAnsi="宋体" w:eastAsia="宋体" w:cs="宋体"/>
          <w:b w:val="0"/>
          <w:bCs w:val="0"/>
          <w:color w:val="auto"/>
          <w:kern w:val="2"/>
          <w:sz w:val="21"/>
          <w:szCs w:val="21"/>
          <w:highlight w:val="none"/>
          <w:lang w:val="en-US" w:eastAsia="zh-CN" w:bidi="ar-SA"/>
        </w:rPr>
        <w:t>：</w:t>
      </w:r>
    </w:p>
    <w:p w14:paraId="4108120D">
      <w:pPr>
        <w:ind w:firstLine="0" w:firstLineChars="0"/>
        <w:rPr>
          <w:rFonts w:hint="default" w:ascii="Times New Roman" w:hAnsi="Times New Roman" w:eastAsia="宋体" w:cs="Times New Roman"/>
          <w:lang w:val="en-US" w:eastAsia="zh-CN"/>
        </w:rPr>
      </w:pPr>
    </w:p>
    <w:p w14:paraId="249A6122">
      <w:pPr>
        <w:outlineLvl w:val="4"/>
        <w:rPr>
          <w:rFonts w:hint="eastAsia" w:ascii="宋体" w:hAnsi="宋体" w:eastAsia="宋体" w:cs="Times New Roman"/>
          <w:b/>
          <w:bCs/>
          <w:color w:val="auto"/>
          <w:kern w:val="2"/>
          <w:sz w:val="30"/>
          <w:szCs w:val="30"/>
          <w:highlight w:val="none"/>
          <w:lang w:val="en-US" w:eastAsia="zh-CN" w:bidi="ar-SA"/>
        </w:rPr>
      </w:pPr>
    </w:p>
    <w:p w14:paraId="33D03916">
      <w:pPr>
        <w:outlineLvl w:val="4"/>
        <w:rPr>
          <w:rFonts w:hint="eastAsia" w:ascii="宋体" w:hAnsi="宋体" w:eastAsia="宋体" w:cs="Times New Roman"/>
          <w:b/>
          <w:bCs/>
          <w:color w:val="auto"/>
          <w:kern w:val="2"/>
          <w:sz w:val="30"/>
          <w:szCs w:val="30"/>
          <w:highlight w:val="none"/>
          <w:lang w:val="en-US" w:eastAsia="zh-CN" w:bidi="ar-SA"/>
        </w:rPr>
      </w:pPr>
      <w:r>
        <w:rPr>
          <w:rFonts w:hint="eastAsia" w:ascii="宋体" w:hAnsi="宋体" w:eastAsia="宋体" w:cs="Times New Roman"/>
          <w:b/>
          <w:bCs/>
          <w:color w:val="auto"/>
          <w:kern w:val="2"/>
          <w:sz w:val="30"/>
          <w:szCs w:val="30"/>
          <w:highlight w:val="none"/>
          <w:lang w:val="en-US" w:eastAsia="zh-CN" w:bidi="ar-SA"/>
        </w:rPr>
        <w:t>附件3：</w:t>
      </w:r>
    </w:p>
    <w:p w14:paraId="28C9E61B">
      <w:pPr>
        <w:jc w:val="center"/>
        <w:outlineLvl w:val="4"/>
        <w:rPr>
          <w:rFonts w:hint="eastAsia" w:ascii="宋体" w:hAnsi="宋体" w:eastAsia="宋体" w:cs="Times New Roman"/>
          <w:b/>
          <w:bCs/>
          <w:color w:val="auto"/>
          <w:kern w:val="2"/>
          <w:sz w:val="30"/>
          <w:szCs w:val="30"/>
          <w:highlight w:val="none"/>
          <w:lang w:val="en-US" w:eastAsia="zh-CN" w:bidi="ar-SA"/>
        </w:rPr>
      </w:pPr>
      <w:r>
        <w:rPr>
          <w:rFonts w:hint="eastAsia" w:ascii="宋体" w:hAnsi="宋体" w:eastAsia="宋体" w:cs="Times New Roman"/>
          <w:b/>
          <w:bCs/>
          <w:color w:val="auto"/>
          <w:kern w:val="2"/>
          <w:sz w:val="30"/>
          <w:szCs w:val="30"/>
          <w:highlight w:val="none"/>
          <w:lang w:val="en-US" w:eastAsia="zh-CN" w:bidi="ar-SA"/>
        </w:rPr>
        <w:t>中小企业声明</w:t>
      </w:r>
    </w:p>
    <w:p w14:paraId="5BD6058C">
      <w:pPr>
        <w:outlineLvl w:val="4"/>
        <w:rPr>
          <w:rFonts w:hint="eastAsia" w:ascii="黑体" w:hAnsi="宋体" w:eastAsia="黑体" w:cs="Times New Roman"/>
          <w:bCs/>
          <w:kern w:val="0"/>
          <w:sz w:val="24"/>
          <w:szCs w:val="32"/>
        </w:rPr>
      </w:pPr>
      <w:r>
        <w:rPr>
          <w:rFonts w:hint="eastAsia" w:ascii="黑体" w:hAnsi="宋体" w:eastAsia="黑体" w:cs="Times New Roman"/>
          <w:bCs/>
          <w:kern w:val="0"/>
          <w:sz w:val="24"/>
          <w:szCs w:val="32"/>
        </w:rPr>
        <w:t>中小企业声明函、残疾人福利性单位声明函及监狱企业声明函</w:t>
      </w:r>
    </w:p>
    <w:p w14:paraId="79227992">
      <w:pPr>
        <w:ind w:firstLine="420" w:firstLineChars="200"/>
        <w:rPr>
          <w:rFonts w:hint="eastAsia" w:ascii="黑体" w:hAnsi="宋体" w:eastAsia="黑体" w:cs="Times New Roman"/>
          <w:bCs/>
          <w:color w:val="FF0000"/>
          <w:kern w:val="0"/>
          <w:szCs w:val="21"/>
        </w:rPr>
      </w:pPr>
      <w:r>
        <w:rPr>
          <w:rFonts w:hint="eastAsia" w:ascii="黑体" w:hAnsi="宋体" w:eastAsia="黑体" w:cs="Times New Roman"/>
          <w:bCs/>
          <w:color w:val="FF0000"/>
          <w:kern w:val="0"/>
          <w:szCs w:val="21"/>
        </w:rPr>
        <w:t>填写指引1</w:t>
      </w:r>
      <w:r>
        <w:rPr>
          <w:rFonts w:hint="eastAsia" w:ascii="黑体" w:hAnsi="宋体" w:eastAsia="黑体" w:cs="Times New Roman"/>
          <w:bCs/>
          <w:color w:val="FF0000"/>
          <w:kern w:val="0"/>
          <w:szCs w:val="21"/>
          <w:highlight w:val="yellow"/>
        </w:rPr>
        <w:t>（仅适用于“非专门面向中小企业采购项目”）</w:t>
      </w:r>
      <w:r>
        <w:rPr>
          <w:rFonts w:hint="eastAsia" w:ascii="黑体" w:hAnsi="宋体" w:eastAsia="黑体" w:cs="Times New Roman"/>
          <w:bCs/>
          <w:color w:val="FF0000"/>
          <w:kern w:val="0"/>
          <w:szCs w:val="21"/>
        </w:rPr>
        <w:t>：</w:t>
      </w:r>
    </w:p>
    <w:p w14:paraId="377DAF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360B23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2.该部分内容填写需要参考的相关文件：该部分内容填写需要参考的相关文件：(1)财政部《政府采购促进中小企业发展管理办法》（财库〔2020〕46号）；(2)《金融业企业划型标准规定》（银发〔2015〕309 号）；（3）《工业和信息化部、国家统计局、国家发展和改革委员会、财政部关于印发中小企业划型标准规定的通知》（工信部联企业〔2011〕300 号，以下简称300号文）。</w:t>
      </w:r>
    </w:p>
    <w:p w14:paraId="4C09AE6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3.请依照提供的格式和内容填写声明函，不要随意变更格式；声明函须盖章；满足多项优惠政策的投标人，不同时享受多项价格扣除政策。</w:t>
      </w:r>
    </w:p>
    <w:p w14:paraId="48446F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4.声明函具体填写要求：</w:t>
      </w:r>
    </w:p>
    <w:p w14:paraId="2FFE5C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（1）声明是中小企业须填写《中小企业声明函》(服务)的以下内容：</w:t>
      </w:r>
    </w:p>
    <w:p w14:paraId="052D62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第一处，在“单位名称”下划线处如实填写采购人名称；</w:t>
      </w:r>
    </w:p>
    <w:p w14:paraId="4007342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第二处，在“项目名称”下划线处如实填写采购项目名称；</w:t>
      </w:r>
    </w:p>
    <w:p w14:paraId="7AFF0C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第三处，在“标的名称”下划线处填写所采购服务（标的）的采购项目名称；如果涉及多个服务需求（标的）由同一企业承接，“标的名称”下划线处可以如实填写多个服务需求（标的）；</w:t>
      </w:r>
    </w:p>
    <w:p w14:paraId="32B5C4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第四处，在“采购文件中明确的所属行业”下划线处填写采购标的对应的中小企业划分标准所属行业（所属行业可在“评标信息”查看）；</w:t>
      </w:r>
      <w:r>
        <w:rPr>
          <w:rFonts w:hint="eastAsia" w:ascii="黑体" w:hAnsi="宋体" w:eastAsia="黑体" w:cs="Times New Roman"/>
          <w:bCs/>
          <w:color w:val="4F81BD"/>
          <w:kern w:val="0"/>
          <w:szCs w:val="21"/>
          <w:u w:val="double"/>
        </w:rPr>
        <w:t>《中小企业声明函》中承接企业所属行业应当与招标文件要求的行业相一致</w:t>
      </w:r>
      <w:r>
        <w:rPr>
          <w:rFonts w:hint="eastAsia" w:ascii="宋体" w:hAnsi="宋体" w:eastAsia="宋体" w:cs="宋体"/>
          <w:b w:val="0"/>
          <w:bCs w:val="0"/>
          <w:color w:val="auto"/>
          <w:kern w:val="2"/>
          <w:sz w:val="21"/>
          <w:szCs w:val="21"/>
          <w:highlight w:val="none"/>
          <w:lang w:val="en-US" w:eastAsia="zh-CN" w:bidi="ar-SA"/>
        </w:rPr>
        <w:t>，供应商如有疑问，可根据《国民经济行业分类》（GB/T4754-2002），结合《关于印发中小企业划型标准规定的通知》（工信部联企业〔2011〕300 号）进行判断。</w:t>
      </w:r>
    </w:p>
    <w:p w14:paraId="6BD491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5CFF856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（2）声明是残疾人福利性单位须填写《残疾人福利性单位声明函》（服务类）的相关内容（填写位置的字体已加粗），具体参照上述针对《中小企业声明函》的填写要求进行填写。</w:t>
      </w:r>
    </w:p>
    <w:p w14:paraId="780005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（3）声明是监狱企业须填写《监狱企业声明函》的相关内容（填写位置的字体已加粗），具体参照上述针对《中小企业声明函》的填写要求进行填写。</w:t>
      </w:r>
    </w:p>
    <w:p w14:paraId="342F77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黑体" w:hAnsi="宋体" w:eastAsia="黑体" w:cs="Times New Roman"/>
          <w:bCs/>
          <w:color w:val="4F81BD"/>
          <w:kern w:val="0"/>
          <w:szCs w:val="21"/>
        </w:rPr>
      </w:pPr>
      <w:r>
        <w:rPr>
          <w:rFonts w:hint="eastAsia" w:ascii="宋体" w:hAnsi="宋体" w:eastAsia="宋体" w:cs="宋体"/>
          <w:b w:val="0"/>
          <w:bCs w:val="0"/>
          <w:color w:val="auto"/>
          <w:kern w:val="2"/>
          <w:sz w:val="21"/>
          <w:szCs w:val="21"/>
          <w:highlight w:val="none"/>
          <w:lang w:val="en-US" w:eastAsia="zh-CN" w:bidi="ar-SA"/>
        </w:rPr>
        <w:t>5.声明函的有效性最终由评审委员会判定；如评审委员会判定声明函无效，相关供应商不享受价格扣除</w:t>
      </w:r>
      <w:r>
        <w:rPr>
          <w:rFonts w:hint="eastAsia" w:ascii="黑体" w:hAnsi="宋体" w:eastAsia="黑体" w:cs="Times New Roman"/>
          <w:bCs/>
          <w:color w:val="4F81BD"/>
          <w:kern w:val="0"/>
          <w:szCs w:val="21"/>
        </w:rPr>
        <w:t>（但不作投标无效处理）。</w:t>
      </w:r>
    </w:p>
    <w:p w14:paraId="300144C6">
      <w:pPr>
        <w:pStyle w:val="12"/>
        <w:rPr>
          <w:rFonts w:hint="eastAsia" w:ascii="黑体" w:hAnsi="宋体" w:eastAsia="黑体" w:cs="Times New Roman"/>
          <w:color w:val="4F81BD"/>
          <w:kern w:val="0"/>
          <w:szCs w:val="21"/>
        </w:rPr>
      </w:pPr>
    </w:p>
    <w:p w14:paraId="16289174">
      <w:pPr>
        <w:ind w:firstLine="420" w:firstLineChars="200"/>
        <w:rPr>
          <w:rFonts w:hint="eastAsia" w:ascii="黑体" w:hAnsi="宋体" w:eastAsia="黑体" w:cs="Times New Roman"/>
          <w:bCs/>
          <w:color w:val="FF0000"/>
          <w:kern w:val="0"/>
          <w:szCs w:val="21"/>
        </w:rPr>
      </w:pPr>
      <w:r>
        <w:rPr>
          <w:rFonts w:hint="eastAsia" w:ascii="宋体" w:hAnsi="宋体" w:eastAsia="宋体" w:cs="宋体"/>
          <w:b w:val="0"/>
          <w:bCs w:val="0"/>
          <w:color w:val="auto"/>
          <w:kern w:val="2"/>
          <w:sz w:val="21"/>
          <w:szCs w:val="21"/>
          <w:highlight w:val="none"/>
          <w:lang w:val="en-US" w:eastAsia="zh-CN" w:bidi="ar-SA"/>
        </w:rPr>
        <w:t>填写指引2</w:t>
      </w:r>
      <w:r>
        <w:rPr>
          <w:rFonts w:hint="eastAsia" w:ascii="黑体" w:hAnsi="宋体" w:eastAsia="黑体" w:cs="Times New Roman"/>
          <w:bCs/>
          <w:color w:val="FF0000"/>
          <w:kern w:val="0"/>
          <w:szCs w:val="21"/>
          <w:highlight w:val="yellow"/>
        </w:rPr>
        <w:t>（仅适用于“专门面向中小企业采购项目或预留份额专门面向中小企业采购项目”）</w:t>
      </w:r>
      <w:r>
        <w:rPr>
          <w:rFonts w:hint="eastAsia" w:ascii="黑体" w:hAnsi="宋体" w:eastAsia="黑体" w:cs="Times New Roman"/>
          <w:bCs/>
          <w:color w:val="FF0000"/>
          <w:kern w:val="0"/>
          <w:szCs w:val="21"/>
        </w:rPr>
        <w:t>：</w:t>
      </w:r>
    </w:p>
    <w:p w14:paraId="1B6A20B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02EB64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2.该部分内容填写需要参考的相关文件：(1)财政部《政府采购促进中小企业发展管理办法》（财库〔2020〕46号）；(2)《金融业企业划型标准规定》（银发〔2015〕309 号）；（3）《工业和信息化部、国家统计局、国家发展和改革委员会、财政部关于印发中小企业划型标准规定的通知》（工信部联企业〔2011〕300 号，以下简称300号文）。</w:t>
      </w:r>
    </w:p>
    <w:p w14:paraId="7A3B9E1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3.请依照提供的格式和内容填写声明函，不要随意变更格式；声明函须盖章。</w:t>
      </w:r>
    </w:p>
    <w:p w14:paraId="3D5ABAD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4.声明函具体填写要求：</w:t>
      </w:r>
    </w:p>
    <w:p w14:paraId="756A663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（1）声明是中小企业须填写《中小企业声明函》(服务)的以下内容：</w:t>
      </w:r>
    </w:p>
    <w:p w14:paraId="76806D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第一处，在“单位名称”下划线处如实填写采购人名称；供应商未填写“采购人名称”或填写的“采购人名称”与招标文件的“采购人名称”不一致的，</w:t>
      </w:r>
      <w:r>
        <w:rPr>
          <w:rFonts w:hint="eastAsia" w:ascii="黑体" w:hAnsi="宋体" w:eastAsia="黑体" w:cs="Times New Roman"/>
          <w:bCs/>
          <w:color w:val="4F81BD"/>
          <w:kern w:val="0"/>
          <w:szCs w:val="21"/>
          <w:u w:val="double"/>
        </w:rPr>
        <w:t>将导致投标无效</w:t>
      </w:r>
      <w:r>
        <w:rPr>
          <w:rFonts w:hint="eastAsia" w:ascii="宋体" w:hAnsi="宋体" w:eastAsia="宋体" w:cs="宋体"/>
          <w:b w:val="0"/>
          <w:bCs w:val="0"/>
          <w:color w:val="auto"/>
          <w:kern w:val="2"/>
          <w:sz w:val="21"/>
          <w:szCs w:val="21"/>
          <w:highlight w:val="none"/>
          <w:lang w:val="en-US" w:eastAsia="zh-CN" w:bidi="ar-SA"/>
        </w:rPr>
        <w:t>；</w:t>
      </w:r>
    </w:p>
    <w:p w14:paraId="2D98534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黑体" w:hAnsi="宋体" w:eastAsia="黑体" w:cs="Times New Roman"/>
          <w:bCs/>
          <w:color w:val="FF0000"/>
          <w:kern w:val="0"/>
          <w:szCs w:val="21"/>
        </w:rPr>
      </w:pPr>
      <w:r>
        <w:rPr>
          <w:rFonts w:hint="eastAsia" w:ascii="宋体" w:hAnsi="宋体" w:eastAsia="宋体" w:cs="宋体"/>
          <w:b w:val="0"/>
          <w:bCs w:val="0"/>
          <w:color w:val="auto"/>
          <w:kern w:val="2"/>
          <w:sz w:val="21"/>
          <w:szCs w:val="21"/>
          <w:highlight w:val="none"/>
          <w:lang w:val="en-US" w:eastAsia="zh-CN" w:bidi="ar-SA"/>
        </w:rPr>
        <w:t>第二处，在“项目名称”下划线处如实填写采购项目名称；供应商未填写“项目名称”或填写的“项目名称”与招标文件的“项目名称”不一致的，</w:t>
      </w:r>
      <w:r>
        <w:rPr>
          <w:rFonts w:hint="eastAsia" w:ascii="黑体" w:hAnsi="宋体" w:eastAsia="黑体" w:cs="Times New Roman"/>
          <w:bCs/>
          <w:color w:val="4F81BD"/>
          <w:kern w:val="0"/>
          <w:szCs w:val="21"/>
          <w:u w:val="double"/>
        </w:rPr>
        <w:t>将导致投标无效</w:t>
      </w:r>
      <w:r>
        <w:rPr>
          <w:rFonts w:hint="eastAsia" w:ascii="黑体" w:hAnsi="宋体" w:eastAsia="黑体" w:cs="Times New Roman"/>
          <w:bCs/>
          <w:color w:val="FF0000"/>
          <w:kern w:val="0"/>
          <w:szCs w:val="21"/>
        </w:rPr>
        <w:t>；</w:t>
      </w:r>
    </w:p>
    <w:p w14:paraId="23E8409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第三处，在“标的名称”下划线处填写所采购服务（标的）的采购项目名称；如果涉及多个服务需求（标的）由同一企业承接，“标的名称”下划线处可以如实填写多个服务需求（标的）；</w:t>
      </w:r>
    </w:p>
    <w:p w14:paraId="223B8F2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黑体" w:hAnsi="宋体" w:eastAsia="黑体" w:cs="Times New Roman"/>
          <w:bCs/>
          <w:color w:val="FF0000"/>
          <w:kern w:val="0"/>
          <w:szCs w:val="21"/>
        </w:rPr>
      </w:pPr>
      <w:r>
        <w:rPr>
          <w:rFonts w:hint="eastAsia" w:ascii="宋体" w:hAnsi="宋体" w:eastAsia="宋体" w:cs="宋体"/>
          <w:b w:val="0"/>
          <w:bCs w:val="0"/>
          <w:color w:val="auto"/>
          <w:kern w:val="2"/>
          <w:sz w:val="21"/>
          <w:szCs w:val="21"/>
          <w:highlight w:val="none"/>
          <w:lang w:val="en-US" w:eastAsia="zh-CN" w:bidi="ar-SA"/>
        </w:rPr>
        <w:t>第四处，在“采购文件中明确的所属行业”下划线处填写采购标的对应的中小企业划分标准所属行业（所属行业可在“评标信息”查看）；</w:t>
      </w:r>
      <w:r>
        <w:rPr>
          <w:rFonts w:hint="eastAsia" w:ascii="黑体" w:hAnsi="宋体" w:eastAsia="黑体" w:cs="Times New Roman"/>
          <w:bCs/>
          <w:color w:val="4F81BD"/>
          <w:kern w:val="0"/>
          <w:szCs w:val="21"/>
          <w:u w:val="double"/>
        </w:rPr>
        <w:t>《中小企业声明函》中承接企业所属行业应当与招标文件要求的行业相一致</w:t>
      </w:r>
      <w:r>
        <w:rPr>
          <w:rFonts w:hint="eastAsia" w:ascii="黑体" w:hAnsi="宋体" w:eastAsia="黑体" w:cs="Times New Roman"/>
          <w:bCs/>
          <w:color w:val="FF0000"/>
          <w:kern w:val="0"/>
          <w:szCs w:val="21"/>
        </w:rPr>
        <w:t>，</w:t>
      </w:r>
      <w:r>
        <w:rPr>
          <w:rFonts w:hint="eastAsia" w:ascii="宋体" w:hAnsi="宋体" w:eastAsia="宋体" w:cs="宋体"/>
          <w:b w:val="0"/>
          <w:bCs w:val="0"/>
          <w:color w:val="auto"/>
          <w:kern w:val="2"/>
          <w:sz w:val="21"/>
          <w:szCs w:val="21"/>
          <w:highlight w:val="none"/>
          <w:lang w:val="en-US" w:eastAsia="zh-CN" w:bidi="ar-SA"/>
        </w:rPr>
        <w:t>供应商如有疑问，可根据《国民经济行业分类》（GB/T4754-2002），结合《关于印发中小企业划型标准规定的通知》（工信部联企业〔2011〕300 号）进行判断；供应商未填写“所属行业”或填写的“所属行业”与招标文件约定的“所属行业”不一致的，</w:t>
      </w:r>
      <w:r>
        <w:rPr>
          <w:rFonts w:hint="eastAsia" w:ascii="黑体" w:hAnsi="宋体" w:eastAsia="黑体" w:cs="Times New Roman"/>
          <w:bCs/>
          <w:color w:val="4F81BD"/>
          <w:kern w:val="0"/>
          <w:szCs w:val="21"/>
          <w:u w:val="double"/>
        </w:rPr>
        <w:t>将导致投标无效</w:t>
      </w:r>
      <w:r>
        <w:rPr>
          <w:rFonts w:hint="eastAsia" w:ascii="宋体" w:hAnsi="宋体" w:eastAsia="宋体" w:cs="宋体"/>
          <w:b w:val="0"/>
          <w:bCs w:val="0"/>
          <w:color w:val="auto"/>
          <w:kern w:val="2"/>
          <w:sz w:val="21"/>
          <w:szCs w:val="21"/>
          <w:highlight w:val="none"/>
          <w:lang w:val="en-US" w:eastAsia="zh-CN" w:bidi="ar-SA"/>
        </w:rPr>
        <w:t>；例如，招标文件约定本项目采购标的对应的中小企业划分标准所属行业为“其他未列明的行业”，但供应商在“采购文件中明确的所属行业”下划线处填写为“物业管理”或“采购文件中明确的所属行业”，</w:t>
      </w:r>
      <w:r>
        <w:rPr>
          <w:rFonts w:hint="eastAsia" w:ascii="黑体" w:hAnsi="宋体" w:eastAsia="黑体" w:cs="Times New Roman"/>
          <w:bCs/>
          <w:color w:val="4F81BD"/>
          <w:kern w:val="0"/>
          <w:szCs w:val="21"/>
          <w:u w:val="double"/>
        </w:rPr>
        <w:t>做投标无效处理</w:t>
      </w:r>
      <w:r>
        <w:rPr>
          <w:rFonts w:hint="eastAsia" w:ascii="黑体" w:hAnsi="宋体" w:eastAsia="黑体" w:cs="Times New Roman"/>
          <w:bCs/>
          <w:color w:val="FF0000"/>
          <w:kern w:val="0"/>
          <w:szCs w:val="21"/>
        </w:rPr>
        <w:t>。</w:t>
      </w:r>
    </w:p>
    <w:p w14:paraId="07CE7C18">
      <w:pPr>
        <w:ind w:firstLine="420" w:firstLineChars="200"/>
        <w:rPr>
          <w:rFonts w:hint="eastAsia" w:ascii="黑体" w:hAnsi="宋体" w:eastAsia="黑体" w:cs="Times New Roman"/>
          <w:bCs/>
          <w:color w:val="FF0000"/>
          <w:kern w:val="0"/>
          <w:szCs w:val="21"/>
        </w:rPr>
      </w:pPr>
      <w:r>
        <w:rPr>
          <w:rFonts w:hint="eastAsia" w:ascii="宋体" w:hAnsi="宋体" w:eastAsia="宋体" w:cs="宋体"/>
          <w:b w:val="0"/>
          <w:bCs w:val="0"/>
          <w:color w:val="auto"/>
          <w:kern w:val="2"/>
          <w:sz w:val="21"/>
          <w:szCs w:val="21"/>
          <w:highlight w:val="none"/>
          <w:lang w:val="en-US" w:eastAsia="zh-CN" w:bidi="ar-SA"/>
        </w:rPr>
        <w:t>第五处，在“企业名称”下划线处如实填写承接企业名称；在“从业人员”、“营业收入”、“资产总额”下划线处如实填写从业人员、营业收入、资产总额；在“中型企业、小型企业、微型企业”下划线处如实依照300号文填写相应的企业类型；企业类型只能填写“中型企业”、“小型企业”或“微型企业”，如投标人企业类型填写为“中小企业、小微企业”或其他表述的，视为未按要求填写，作投标无效处理。从业人员、营业收入、资产总额填报上一年度数据，无上一年度数据的新成立企业可以不填报；供应商填写的中小微企业类型与实际不一致的，将导致投标无效。例如，供应商本属于中型企业，但供应商在中小企业声明函时填报为小型企业；供应商本属于微型企业，但供应商在中小企业声明函时填报为小型企业；</w:t>
      </w:r>
      <w:r>
        <w:rPr>
          <w:rFonts w:hint="eastAsia" w:ascii="黑体" w:hAnsi="宋体" w:eastAsia="黑体" w:cs="Times New Roman"/>
          <w:bCs/>
          <w:color w:val="4F81BD"/>
          <w:kern w:val="0"/>
          <w:szCs w:val="21"/>
          <w:u w:val="double"/>
        </w:rPr>
        <w:t>以上两种情形均做投标无效处理</w:t>
      </w:r>
      <w:r>
        <w:rPr>
          <w:rFonts w:hint="eastAsia" w:ascii="黑体" w:hAnsi="宋体" w:eastAsia="黑体" w:cs="Times New Roman"/>
          <w:bCs/>
          <w:color w:val="FF0000"/>
          <w:kern w:val="0"/>
          <w:szCs w:val="21"/>
        </w:rPr>
        <w:t>。</w:t>
      </w:r>
    </w:p>
    <w:p w14:paraId="42B4C7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（2）声明是残疾人福利性单位须填写《残疾人福利性单位声明函》（服务类）的相关内容（填写位置的字体已加粗），具体参照上述针对《中小企业声明函》的填写要求进行填写。</w:t>
      </w:r>
    </w:p>
    <w:p w14:paraId="0CB56E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（3）声明是监狱企业须填写《监狱企业声明函》的相关内容（填写位置的字体已加粗），具体参照上述针对《中小企业声明函》的填写要求进行填写。</w:t>
      </w:r>
    </w:p>
    <w:p w14:paraId="47DAC7D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黑体" w:hAnsi="宋体" w:eastAsia="黑体" w:cs="Times New Roman"/>
          <w:bCs/>
          <w:color w:val="FF0000"/>
          <w:kern w:val="0"/>
          <w:szCs w:val="21"/>
        </w:rPr>
      </w:pPr>
      <w:r>
        <w:rPr>
          <w:rFonts w:hint="eastAsia" w:ascii="宋体" w:hAnsi="宋体" w:eastAsia="宋体" w:cs="宋体"/>
          <w:b w:val="0"/>
          <w:bCs w:val="0"/>
          <w:color w:val="auto"/>
          <w:kern w:val="2"/>
          <w:sz w:val="21"/>
          <w:szCs w:val="21"/>
          <w:highlight w:val="none"/>
          <w:lang w:val="en-US" w:eastAsia="zh-CN" w:bidi="ar-SA"/>
        </w:rPr>
        <w:t>5、本项目属于专门面向中小微企业采购，要求提供声明函作为依据，未提供声明函或声明内容不满足要求的，</w:t>
      </w:r>
      <w:r>
        <w:rPr>
          <w:rFonts w:hint="eastAsia" w:ascii="黑体" w:hAnsi="宋体" w:eastAsia="黑体" w:cs="Times New Roman"/>
          <w:bCs/>
          <w:color w:val="4F81BD"/>
          <w:kern w:val="0"/>
          <w:szCs w:val="21"/>
          <w:u w:val="double"/>
        </w:rPr>
        <w:t>做资格审查不通过处理</w:t>
      </w:r>
      <w:r>
        <w:rPr>
          <w:rFonts w:hint="eastAsia" w:ascii="黑体" w:hAnsi="宋体" w:eastAsia="黑体" w:cs="Times New Roman"/>
          <w:bCs/>
          <w:color w:val="FF0000"/>
          <w:kern w:val="0"/>
          <w:szCs w:val="21"/>
        </w:rPr>
        <w:t>。</w:t>
      </w:r>
    </w:p>
    <w:p w14:paraId="4092957E">
      <w:pPr>
        <w:rPr>
          <w:rFonts w:ascii="Times New Roman" w:hAnsi="Times New Roman" w:eastAsia="宋体" w:cs="Times New Roman"/>
        </w:rPr>
      </w:pPr>
    </w:p>
    <w:p w14:paraId="4D336049">
      <w:pPr>
        <w:ind w:firstLine="420" w:firstLineChars="200"/>
        <w:rPr>
          <w:rFonts w:hint="eastAsia" w:ascii="宋体" w:hAnsi="宋体" w:eastAsia="宋体" w:cs="宋体"/>
        </w:rPr>
      </w:pPr>
    </w:p>
    <w:p w14:paraId="13BCCD22">
      <w:pPr>
        <w:numPr>
          <w:ilvl w:val="0"/>
          <w:numId w:val="8"/>
        </w:numPr>
        <w:jc w:val="center"/>
        <w:outlineLvl w:val="5"/>
        <w:rPr>
          <w:rFonts w:hint="eastAsia" w:ascii="宋体" w:hAnsi="宋体" w:eastAsia="宋体" w:cs="宋体"/>
          <w:b/>
          <w:sz w:val="24"/>
        </w:rPr>
      </w:pPr>
      <w:r>
        <w:rPr>
          <w:rFonts w:hint="eastAsia" w:ascii="宋体" w:hAnsi="宋体" w:eastAsia="宋体" w:cs="宋体"/>
          <w:b/>
          <w:sz w:val="24"/>
        </w:rPr>
        <w:t xml:space="preserve">中小企业声明函（服务） </w:t>
      </w:r>
    </w:p>
    <w:p w14:paraId="39D13F77">
      <w:pPr>
        <w:ind w:firstLine="420" w:firstLineChars="200"/>
        <w:rPr>
          <w:rFonts w:hint="eastAsia" w:ascii="宋体" w:hAnsi="宋体" w:eastAsia="宋体" w:cs="宋体"/>
          <w:szCs w:val="21"/>
        </w:rPr>
      </w:pPr>
      <w:r>
        <w:rPr>
          <w:rFonts w:hint="eastAsia" w:ascii="宋体" w:hAnsi="宋体" w:eastAsia="宋体" w:cs="宋体"/>
          <w:szCs w:val="21"/>
        </w:rPr>
        <w:t>本公司（联合体）郑重声明，根据《政府采购促进中小企业发展管理办法》（财库﹝2020﹞46号）的规定，本公司（联合体）参加</w:t>
      </w:r>
      <w:r>
        <w:rPr>
          <w:rFonts w:hint="eastAsia" w:ascii="宋体" w:hAnsi="宋体" w:eastAsia="宋体" w:cs="宋体"/>
          <w:b/>
          <w:bCs/>
          <w:szCs w:val="21"/>
          <w:u w:val="single"/>
        </w:rPr>
        <w:t>（单位名称）</w:t>
      </w:r>
      <w:r>
        <w:rPr>
          <w:rFonts w:hint="eastAsia" w:ascii="宋体" w:hAnsi="宋体" w:eastAsia="宋体" w:cs="宋体"/>
          <w:szCs w:val="21"/>
        </w:rPr>
        <w:t>的</w:t>
      </w:r>
      <w:r>
        <w:rPr>
          <w:rFonts w:hint="eastAsia" w:ascii="宋体" w:hAnsi="宋体" w:eastAsia="宋体" w:cs="宋体"/>
          <w:b/>
          <w:bCs/>
          <w:szCs w:val="21"/>
          <w:u w:val="single"/>
        </w:rPr>
        <w:t>（项目名称）</w:t>
      </w:r>
      <w:r>
        <w:rPr>
          <w:rFonts w:hint="eastAsia" w:ascii="宋体" w:hAnsi="宋体" w:eastAsia="宋体" w:cs="宋体"/>
          <w:szCs w:val="21"/>
        </w:rPr>
        <w:t>采购活动，服务全部由符合政策要求的中小企业承接。相关企业（含联合体中的中小企业、签订分包意向协议的中小企业）的具体情况如下：</w:t>
      </w:r>
    </w:p>
    <w:p w14:paraId="579D9DC0">
      <w:pPr>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b/>
          <w:bCs/>
          <w:szCs w:val="21"/>
          <w:u w:val="single"/>
        </w:rPr>
        <w:t xml:space="preserve"> （标的名称）</w:t>
      </w:r>
      <w:r>
        <w:rPr>
          <w:rFonts w:hint="eastAsia" w:ascii="宋体" w:hAnsi="宋体" w:eastAsia="宋体" w:cs="宋体"/>
          <w:szCs w:val="21"/>
        </w:rPr>
        <w:t xml:space="preserve"> ，属于</w:t>
      </w:r>
      <w:r>
        <w:rPr>
          <w:rFonts w:hint="eastAsia" w:ascii="宋体" w:hAnsi="宋体" w:eastAsia="宋体" w:cs="宋体"/>
          <w:b/>
          <w:bCs/>
          <w:szCs w:val="21"/>
          <w:u w:val="single"/>
        </w:rPr>
        <w:t xml:space="preserve">（采购文件中明确的所属行业） </w:t>
      </w:r>
      <w:r>
        <w:rPr>
          <w:rFonts w:hint="eastAsia" w:ascii="宋体" w:hAnsi="宋体" w:eastAsia="宋体" w:cs="宋体"/>
          <w:szCs w:val="21"/>
        </w:rPr>
        <w:t>行业；承接企业为</w:t>
      </w:r>
      <w:r>
        <w:rPr>
          <w:rFonts w:hint="eastAsia" w:ascii="宋体" w:hAnsi="宋体" w:eastAsia="宋体" w:cs="宋体"/>
          <w:b/>
          <w:bCs/>
          <w:szCs w:val="21"/>
          <w:u w:val="single"/>
        </w:rPr>
        <w:t>（企业名称）</w:t>
      </w:r>
      <w:r>
        <w:rPr>
          <w:rFonts w:hint="eastAsia" w:ascii="宋体" w:hAnsi="宋体" w:eastAsia="宋体" w:cs="宋体"/>
          <w:szCs w:val="21"/>
        </w:rPr>
        <w:t>，从业人员人，营业收入为万元，资产总额为万元 ，属于</w:t>
      </w:r>
      <w:r>
        <w:rPr>
          <w:rFonts w:hint="eastAsia" w:ascii="宋体" w:hAnsi="宋体" w:eastAsia="宋体" w:cs="宋体"/>
          <w:b/>
          <w:bCs/>
          <w:szCs w:val="21"/>
          <w:u w:val="single"/>
        </w:rPr>
        <w:t>（中型企业、小型企业、微型企业）</w:t>
      </w:r>
      <w:r>
        <w:rPr>
          <w:rFonts w:hint="eastAsia" w:ascii="宋体" w:hAnsi="宋体" w:eastAsia="宋体" w:cs="宋体"/>
          <w:szCs w:val="21"/>
        </w:rPr>
        <w:t xml:space="preserve">； </w:t>
      </w:r>
    </w:p>
    <w:p w14:paraId="04D60C7B">
      <w:pPr>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b/>
          <w:bCs/>
          <w:szCs w:val="21"/>
          <w:u w:val="single"/>
        </w:rPr>
        <w:t xml:space="preserve"> （标的名称）</w:t>
      </w:r>
      <w:r>
        <w:rPr>
          <w:rFonts w:hint="eastAsia" w:ascii="宋体" w:hAnsi="宋体" w:eastAsia="宋体" w:cs="宋体"/>
          <w:szCs w:val="21"/>
        </w:rPr>
        <w:t xml:space="preserve"> ，属于</w:t>
      </w:r>
      <w:r>
        <w:rPr>
          <w:rFonts w:hint="eastAsia" w:ascii="宋体" w:hAnsi="宋体" w:eastAsia="宋体" w:cs="宋体"/>
          <w:b/>
          <w:bCs/>
          <w:szCs w:val="21"/>
          <w:u w:val="single"/>
        </w:rPr>
        <w:t xml:space="preserve">（采购文件中明确的所属行业） </w:t>
      </w:r>
      <w:r>
        <w:rPr>
          <w:rFonts w:hint="eastAsia" w:ascii="宋体" w:hAnsi="宋体" w:eastAsia="宋体" w:cs="宋体"/>
          <w:szCs w:val="21"/>
        </w:rPr>
        <w:t>行业；承接企业为</w:t>
      </w:r>
      <w:r>
        <w:rPr>
          <w:rFonts w:hint="eastAsia" w:ascii="宋体" w:hAnsi="宋体" w:eastAsia="宋体" w:cs="宋体"/>
          <w:b/>
          <w:bCs/>
          <w:szCs w:val="21"/>
          <w:u w:val="single"/>
        </w:rPr>
        <w:t>（企业名称）</w:t>
      </w:r>
      <w:r>
        <w:rPr>
          <w:rFonts w:hint="eastAsia" w:ascii="宋体" w:hAnsi="宋体" w:eastAsia="宋体" w:cs="宋体"/>
          <w:szCs w:val="21"/>
        </w:rPr>
        <w:t>，从业人员人，营业收入为万元，资产总额为万元 ，属于</w:t>
      </w:r>
      <w:r>
        <w:rPr>
          <w:rFonts w:hint="eastAsia" w:ascii="宋体" w:hAnsi="宋体" w:eastAsia="宋体" w:cs="宋体"/>
          <w:b/>
          <w:bCs/>
          <w:szCs w:val="21"/>
          <w:u w:val="single"/>
        </w:rPr>
        <w:t>（中型企业、小型企业、微型企业）</w:t>
      </w:r>
      <w:r>
        <w:rPr>
          <w:rFonts w:hint="eastAsia" w:ascii="宋体" w:hAnsi="宋体" w:eastAsia="宋体" w:cs="宋体"/>
          <w:szCs w:val="21"/>
        </w:rPr>
        <w:t>；</w:t>
      </w:r>
    </w:p>
    <w:p w14:paraId="5ED59126">
      <w:pPr>
        <w:ind w:firstLine="420" w:firstLineChars="200"/>
        <w:rPr>
          <w:rFonts w:hint="eastAsia" w:ascii="宋体" w:hAnsi="宋体" w:eastAsia="宋体" w:cs="宋体"/>
          <w:szCs w:val="21"/>
        </w:rPr>
      </w:pPr>
      <w:r>
        <w:rPr>
          <w:rFonts w:hint="eastAsia" w:ascii="宋体" w:hAnsi="宋体" w:eastAsia="宋体" w:cs="宋体"/>
          <w:szCs w:val="21"/>
        </w:rPr>
        <w:t xml:space="preserve">…… </w:t>
      </w:r>
    </w:p>
    <w:p w14:paraId="4D5ECAEA">
      <w:pPr>
        <w:ind w:firstLine="420" w:firstLineChars="200"/>
        <w:rPr>
          <w:rFonts w:hint="eastAsia" w:ascii="宋体" w:hAnsi="宋体" w:eastAsia="宋体" w:cs="宋体"/>
          <w:szCs w:val="21"/>
        </w:rPr>
      </w:pPr>
      <w:r>
        <w:rPr>
          <w:rFonts w:hint="eastAsia" w:ascii="宋体" w:hAnsi="宋体" w:eastAsia="宋体" w:cs="宋体"/>
          <w:szCs w:val="21"/>
        </w:rPr>
        <w:t>以上企业，不属于大企业的分支机构，不存在控股股东为大企业的情形，也不存在与大企业的负责人为同一人的情形。</w:t>
      </w:r>
    </w:p>
    <w:p w14:paraId="445F6CCC">
      <w:pPr>
        <w:ind w:firstLine="420" w:firstLineChars="200"/>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4E03ACF3">
      <w:pPr>
        <w:ind w:firstLine="422" w:firstLineChars="200"/>
        <w:jc w:val="right"/>
        <w:rPr>
          <w:rFonts w:hint="eastAsia" w:ascii="宋体" w:hAnsi="宋体" w:eastAsia="宋体" w:cs="宋体"/>
          <w:b/>
          <w:bCs/>
        </w:rPr>
      </w:pPr>
    </w:p>
    <w:p w14:paraId="7DABE5CE">
      <w:pPr>
        <w:wordWrap w:val="0"/>
        <w:ind w:firstLine="422" w:firstLineChars="200"/>
        <w:jc w:val="right"/>
        <w:rPr>
          <w:rFonts w:hint="eastAsia" w:ascii="宋体" w:hAnsi="宋体" w:eastAsia="宋体" w:cs="宋体"/>
          <w:b/>
          <w:bCs/>
        </w:rPr>
      </w:pPr>
      <w:r>
        <w:rPr>
          <w:rFonts w:hint="eastAsia" w:ascii="宋体" w:hAnsi="宋体" w:eastAsia="宋体" w:cs="宋体"/>
          <w:b/>
          <w:bCs/>
        </w:rPr>
        <w:t xml:space="preserve"> 企业名称</w:t>
      </w:r>
      <w:r>
        <w:rPr>
          <w:rFonts w:hint="eastAsia" w:ascii="宋体" w:hAnsi="宋体" w:eastAsia="宋体" w:cs="宋体"/>
          <w:b/>
          <w:bCs/>
          <w:lang w:eastAsia="zh-CN"/>
        </w:rPr>
        <w:t>（</w:t>
      </w:r>
      <w:r>
        <w:rPr>
          <w:rFonts w:hint="eastAsia" w:ascii="宋体" w:hAnsi="宋体" w:eastAsia="宋体" w:cs="宋体"/>
          <w:b/>
          <w:bCs/>
          <w:lang w:val="en-US" w:eastAsia="zh-CN"/>
        </w:rPr>
        <w:t>加盖投标人公章</w:t>
      </w:r>
      <w:r>
        <w:rPr>
          <w:rFonts w:hint="eastAsia" w:ascii="宋体" w:hAnsi="宋体" w:eastAsia="宋体" w:cs="宋体"/>
          <w:b/>
          <w:bCs/>
          <w:lang w:eastAsia="zh-CN"/>
        </w:rPr>
        <w:t>）</w:t>
      </w:r>
      <w:r>
        <w:rPr>
          <w:rFonts w:hint="eastAsia" w:ascii="宋体" w:hAnsi="宋体" w:eastAsia="宋体" w:cs="宋体"/>
          <w:b/>
          <w:bCs/>
        </w:rPr>
        <w:t xml:space="preserve">：                </w:t>
      </w:r>
    </w:p>
    <w:p w14:paraId="5E9586A8">
      <w:pPr>
        <w:wordWrap w:val="0"/>
        <w:ind w:firstLine="422" w:firstLineChars="200"/>
        <w:jc w:val="right"/>
        <w:rPr>
          <w:rFonts w:hint="eastAsia" w:ascii="宋体" w:hAnsi="宋体" w:eastAsia="宋体" w:cs="宋体"/>
          <w:b/>
          <w:bCs/>
        </w:rPr>
      </w:pPr>
      <w:r>
        <w:rPr>
          <w:rFonts w:hint="eastAsia" w:ascii="宋体" w:hAnsi="宋体" w:eastAsia="宋体" w:cs="宋体"/>
          <w:b/>
          <w:bCs/>
        </w:rPr>
        <w:t>日 期：</w:t>
      </w:r>
    </w:p>
    <w:p w14:paraId="6C3AB13F">
      <w:pPr>
        <w:keepNext/>
        <w:keepLines/>
        <w:widowControl w:val="0"/>
        <w:wordWrap/>
        <w:spacing w:before="260" w:after="260" w:line="416" w:lineRule="auto"/>
        <w:jc w:val="both"/>
        <w:outlineLvl w:val="1"/>
        <w:rPr>
          <w:rFonts w:hint="eastAsia" w:ascii="Arial" w:hAnsi="Arial" w:eastAsia="黑体" w:cs="Times New Roman"/>
          <w:b/>
          <w:bCs/>
          <w:kern w:val="2"/>
          <w:sz w:val="32"/>
          <w:szCs w:val="32"/>
          <w:lang w:val="en-US" w:eastAsia="zh-CN" w:bidi="ar-SA"/>
        </w:rPr>
      </w:pPr>
    </w:p>
    <w:p w14:paraId="45F99452">
      <w:pPr>
        <w:ind w:firstLine="420" w:firstLineChars="200"/>
        <w:rPr>
          <w:rFonts w:hint="eastAsia" w:ascii="宋体" w:hAnsi="宋体" w:eastAsia="宋体" w:cs="宋体"/>
        </w:rPr>
      </w:pPr>
    </w:p>
    <w:p w14:paraId="21C3343A">
      <w:pPr>
        <w:numPr>
          <w:ilvl w:val="0"/>
          <w:numId w:val="8"/>
        </w:numPr>
        <w:jc w:val="center"/>
        <w:outlineLvl w:val="5"/>
        <w:rPr>
          <w:rFonts w:hint="eastAsia" w:ascii="宋体" w:hAnsi="宋体" w:eastAsia="宋体" w:cs="宋体"/>
          <w:b/>
          <w:sz w:val="24"/>
        </w:rPr>
      </w:pPr>
      <w:r>
        <w:rPr>
          <w:rFonts w:hint="eastAsia" w:ascii="宋体" w:hAnsi="宋体" w:eastAsia="宋体" w:cs="宋体"/>
          <w:b/>
          <w:sz w:val="24"/>
        </w:rPr>
        <w:t>残疾人福利性单位声明函（服务类）</w:t>
      </w:r>
    </w:p>
    <w:p w14:paraId="2245A3CE">
      <w:pPr>
        <w:rPr>
          <w:rFonts w:hint="eastAsia" w:ascii="宋体" w:hAnsi="宋体" w:eastAsia="宋体" w:cs="宋体"/>
          <w:b/>
          <w:bCs/>
        </w:rPr>
      </w:pPr>
    </w:p>
    <w:p w14:paraId="32590E14">
      <w:pPr>
        <w:ind w:firstLine="420" w:firstLineChars="200"/>
        <w:rPr>
          <w:rFonts w:hint="eastAsia" w:ascii="宋体" w:hAnsi="宋体" w:eastAsia="宋体" w:cs="宋体"/>
          <w:szCs w:val="21"/>
        </w:rPr>
      </w:pPr>
      <w:r>
        <w:rPr>
          <w:rFonts w:hint="eastAsia" w:ascii="宋体" w:hAnsi="宋体" w:eastAsia="宋体" w:cs="宋体"/>
          <w:szCs w:val="21"/>
        </w:rPr>
        <w:t>本单位郑重声明，根据《财政部民政部中国残疾人联合会关于促进残疾人就业政府采购政策的通知》（财库〔2017〕141 号）的规定，本单位为符合条件的残疾人福利性单位，且本单位参加</w:t>
      </w:r>
      <w:r>
        <w:rPr>
          <w:rFonts w:hint="eastAsia" w:ascii="宋体" w:hAnsi="宋体" w:eastAsia="宋体" w:cs="宋体"/>
          <w:b/>
          <w:bCs/>
          <w:szCs w:val="21"/>
          <w:u w:val="single"/>
        </w:rPr>
        <w:t>（单位名称）</w:t>
      </w:r>
      <w:r>
        <w:rPr>
          <w:rFonts w:hint="eastAsia" w:ascii="宋体" w:hAnsi="宋体" w:eastAsia="宋体" w:cs="宋体"/>
          <w:szCs w:val="21"/>
          <w:u w:val="single"/>
        </w:rPr>
        <w:t>单位</w:t>
      </w:r>
      <w:r>
        <w:rPr>
          <w:rFonts w:hint="eastAsia" w:ascii="宋体" w:hAnsi="宋体" w:eastAsia="宋体" w:cs="宋体"/>
          <w:szCs w:val="21"/>
        </w:rPr>
        <w:t>的</w:t>
      </w:r>
      <w:r>
        <w:rPr>
          <w:rFonts w:hint="eastAsia" w:ascii="宋体" w:hAnsi="宋体" w:eastAsia="宋体" w:cs="宋体"/>
          <w:b/>
          <w:bCs/>
          <w:szCs w:val="21"/>
          <w:u w:val="single"/>
        </w:rPr>
        <w:t>（项目名称）</w:t>
      </w:r>
      <w:r>
        <w:rPr>
          <w:rFonts w:hint="eastAsia" w:ascii="宋体" w:hAnsi="宋体" w:eastAsia="宋体" w:cs="宋体"/>
          <w:szCs w:val="21"/>
          <w:u w:val="single"/>
        </w:rPr>
        <w:t>项目</w:t>
      </w:r>
      <w:r>
        <w:rPr>
          <w:rFonts w:hint="eastAsia" w:ascii="宋体" w:hAnsi="宋体" w:eastAsia="宋体" w:cs="宋体"/>
          <w:szCs w:val="21"/>
        </w:rPr>
        <w:t>采购活动提供本单位服务。</w:t>
      </w:r>
    </w:p>
    <w:p w14:paraId="7E9B2B9B">
      <w:pPr>
        <w:ind w:firstLine="420" w:firstLineChars="200"/>
        <w:rPr>
          <w:rFonts w:hint="eastAsia" w:ascii="宋体" w:hAnsi="宋体" w:eastAsia="宋体" w:cs="宋体"/>
          <w:szCs w:val="21"/>
        </w:rPr>
      </w:pPr>
      <w:r>
        <w:rPr>
          <w:rFonts w:hint="eastAsia" w:ascii="宋体" w:hAnsi="宋体" w:eastAsia="宋体" w:cs="宋体"/>
          <w:szCs w:val="21"/>
        </w:rPr>
        <w:t>本单位对上述声明的真实性负责。如有虚假，将依法承担相应责任。</w:t>
      </w:r>
    </w:p>
    <w:p w14:paraId="61C84AAC">
      <w:pPr>
        <w:pStyle w:val="12"/>
        <w:rPr>
          <w:rFonts w:ascii="Times New Roman" w:hAnsi="Times New Roman" w:eastAsia="宋体" w:cs="Times New Roman"/>
        </w:rPr>
      </w:pPr>
    </w:p>
    <w:p w14:paraId="7DE51387">
      <w:pPr>
        <w:pStyle w:val="12"/>
        <w:widowControl/>
        <w:spacing w:line="312" w:lineRule="auto"/>
        <w:ind w:firstLine="4427" w:firstLineChars="2100"/>
        <w:rPr>
          <w:rFonts w:hint="eastAsia" w:ascii="宋体" w:hAnsi="宋体" w:eastAsia="宋体" w:cs="宋体"/>
          <w:sz w:val="21"/>
          <w:szCs w:val="21"/>
        </w:rPr>
      </w:pPr>
      <w:r>
        <w:rPr>
          <w:rFonts w:hint="eastAsia" w:ascii="宋体" w:hAnsi="宋体" w:eastAsia="宋体" w:cs="宋体"/>
          <w:sz w:val="21"/>
          <w:szCs w:val="21"/>
        </w:rPr>
        <w:t>单位名称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加盖投标人公章</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44065E31">
      <w:pPr>
        <w:pStyle w:val="12"/>
        <w:widowControl/>
        <w:spacing w:line="312" w:lineRule="auto"/>
        <w:ind w:firstLine="6535" w:firstLineChars="3100"/>
        <w:rPr>
          <w:rFonts w:hint="eastAsia" w:ascii="宋体" w:hAnsi="宋体" w:eastAsia="宋体" w:cs="宋体"/>
          <w:sz w:val="21"/>
          <w:szCs w:val="21"/>
        </w:rPr>
      </w:pPr>
      <w:r>
        <w:rPr>
          <w:rFonts w:hint="eastAsia" w:ascii="宋体" w:hAnsi="宋体" w:eastAsia="宋体" w:cs="宋体"/>
          <w:sz w:val="21"/>
          <w:szCs w:val="21"/>
        </w:rPr>
        <w:t>日 期：</w:t>
      </w:r>
    </w:p>
    <w:p w14:paraId="70654A84">
      <w:pPr>
        <w:wordWrap w:val="0"/>
        <w:ind w:firstLine="420" w:firstLineChars="200"/>
        <w:jc w:val="right"/>
        <w:rPr>
          <w:rFonts w:hint="eastAsia" w:ascii="宋体" w:hAnsi="宋体" w:eastAsia="宋体" w:cs="宋体"/>
          <w:szCs w:val="21"/>
        </w:rPr>
      </w:pPr>
    </w:p>
    <w:p w14:paraId="0B009B20">
      <w:pPr>
        <w:keepNext/>
        <w:keepLines/>
        <w:widowControl w:val="0"/>
        <w:wordWrap/>
        <w:spacing w:before="260" w:after="260" w:line="416" w:lineRule="auto"/>
        <w:jc w:val="both"/>
        <w:outlineLvl w:val="1"/>
        <w:rPr>
          <w:rFonts w:hint="eastAsia" w:ascii="Arial" w:hAnsi="Arial" w:eastAsia="黑体" w:cs="Times New Roman"/>
          <w:b/>
          <w:bCs/>
          <w:kern w:val="2"/>
          <w:sz w:val="32"/>
          <w:szCs w:val="32"/>
          <w:lang w:val="en-US" w:eastAsia="zh-CN" w:bidi="ar-SA"/>
        </w:rPr>
      </w:pPr>
    </w:p>
    <w:p w14:paraId="601F62AD">
      <w:pPr>
        <w:numPr>
          <w:ilvl w:val="0"/>
          <w:numId w:val="8"/>
        </w:numPr>
        <w:jc w:val="center"/>
        <w:outlineLvl w:val="5"/>
        <w:rPr>
          <w:rFonts w:hint="eastAsia" w:ascii="宋体" w:hAnsi="宋体" w:eastAsia="宋体" w:cs="宋体"/>
          <w:b/>
          <w:sz w:val="24"/>
        </w:rPr>
      </w:pPr>
      <w:r>
        <w:rPr>
          <w:rFonts w:hint="eastAsia" w:ascii="宋体" w:hAnsi="宋体" w:eastAsia="宋体" w:cs="宋体"/>
          <w:b/>
          <w:sz w:val="24"/>
        </w:rPr>
        <w:t>监狱企业声明函【服务类，监狱企业如需享受优惠政策，还须另行提供省级以上监狱管理局、戒毒管理局（含新疆生产建设兵团）出具的监狱企业证明文件】</w:t>
      </w:r>
    </w:p>
    <w:p w14:paraId="117A0DE5">
      <w:pPr>
        <w:ind w:firstLine="420" w:firstLineChars="200"/>
        <w:rPr>
          <w:rFonts w:hint="eastAsia" w:ascii="宋体" w:hAnsi="宋体" w:eastAsia="宋体" w:cs="Times New Roman"/>
          <w:szCs w:val="21"/>
        </w:rPr>
      </w:pPr>
      <w:r>
        <w:rPr>
          <w:rFonts w:hint="eastAsia" w:ascii="宋体" w:hAnsi="宋体" w:eastAsia="宋体" w:cs="Times New Roman"/>
          <w:szCs w:val="21"/>
        </w:rPr>
        <w:t>本投标人郑重声明，根据《财政部司法部关于政府采购支持监狱企业发展有关问题的通知》（财库〔</w:t>
      </w:r>
      <w:r>
        <w:rPr>
          <w:rFonts w:ascii="宋体" w:hAnsi="宋体" w:eastAsia="宋体" w:cs="Times New Roman"/>
          <w:szCs w:val="21"/>
        </w:rPr>
        <w:t>2014</w:t>
      </w:r>
      <w:r>
        <w:rPr>
          <w:rFonts w:hint="eastAsia" w:ascii="宋体" w:hAnsi="宋体" w:eastAsia="宋体" w:cs="Times New Roman"/>
          <w:szCs w:val="21"/>
        </w:rPr>
        <w:t>〕</w:t>
      </w:r>
      <w:r>
        <w:rPr>
          <w:rFonts w:ascii="宋体" w:hAnsi="宋体" w:eastAsia="宋体" w:cs="Times New Roman"/>
          <w:szCs w:val="21"/>
        </w:rPr>
        <w:t>68</w:t>
      </w:r>
      <w:r>
        <w:rPr>
          <w:rFonts w:hint="eastAsia" w:ascii="宋体" w:hAnsi="宋体" w:eastAsia="宋体" w:cs="Times New Roman"/>
          <w:szCs w:val="21"/>
        </w:rPr>
        <w:t>号）的规定，本投标人</w:t>
      </w:r>
      <w:r>
        <w:rPr>
          <w:rFonts w:ascii="宋体" w:hAnsi="宋体" w:eastAsia="宋体" w:cs="Times New Roman"/>
          <w:szCs w:val="21"/>
        </w:rPr>
        <w:t>参加</w:t>
      </w:r>
      <w:r>
        <w:rPr>
          <w:rFonts w:ascii="宋体" w:hAnsi="宋体" w:eastAsia="宋体" w:cs="Times New Roman"/>
          <w:b/>
          <w:bCs/>
          <w:szCs w:val="21"/>
          <w:u w:val="single"/>
        </w:rPr>
        <w:t>（</w:t>
      </w:r>
      <w:r>
        <w:rPr>
          <w:rFonts w:hint="eastAsia" w:ascii="宋体" w:hAnsi="宋体" w:eastAsia="宋体" w:cs="Times New Roman"/>
          <w:b/>
          <w:bCs/>
          <w:szCs w:val="21"/>
          <w:u w:val="single"/>
        </w:rPr>
        <w:t>单位名称</w:t>
      </w:r>
      <w:r>
        <w:rPr>
          <w:rFonts w:ascii="宋体" w:hAnsi="宋体" w:eastAsia="宋体" w:cs="Times New Roman"/>
          <w:b/>
          <w:bCs/>
          <w:szCs w:val="21"/>
          <w:u w:val="single"/>
        </w:rPr>
        <w:t>）</w:t>
      </w:r>
      <w:r>
        <w:rPr>
          <w:rFonts w:ascii="宋体" w:hAnsi="宋体" w:eastAsia="宋体" w:cs="Times New Roman"/>
          <w:szCs w:val="21"/>
        </w:rPr>
        <w:t>的</w:t>
      </w:r>
      <w:r>
        <w:rPr>
          <w:rFonts w:ascii="宋体" w:hAnsi="宋体" w:eastAsia="宋体" w:cs="Times New Roman"/>
          <w:b/>
          <w:bCs/>
          <w:szCs w:val="21"/>
          <w:u w:val="single"/>
        </w:rPr>
        <w:t>（项目名称）</w:t>
      </w:r>
      <w:r>
        <w:rPr>
          <w:rFonts w:ascii="宋体" w:hAnsi="宋体" w:eastAsia="宋体" w:cs="Times New Roman"/>
          <w:szCs w:val="21"/>
        </w:rPr>
        <w:t>采购活动，</w:t>
      </w:r>
      <w:r>
        <w:rPr>
          <w:rFonts w:hint="eastAsia" w:ascii="宋体" w:hAnsi="宋体" w:eastAsia="宋体" w:cs="Times New Roman"/>
          <w:szCs w:val="21"/>
        </w:rPr>
        <w:t>服务</w:t>
      </w:r>
      <w:r>
        <w:rPr>
          <w:rFonts w:ascii="宋体" w:hAnsi="宋体" w:eastAsia="宋体" w:cs="Times New Roman"/>
          <w:szCs w:val="21"/>
        </w:rPr>
        <w:t>全部由符合政策要求的</w:t>
      </w:r>
      <w:r>
        <w:rPr>
          <w:rFonts w:hint="eastAsia" w:ascii="宋体" w:hAnsi="宋体" w:eastAsia="宋体" w:cs="Times New Roman"/>
          <w:szCs w:val="21"/>
        </w:rPr>
        <w:t>监狱企业承接</w:t>
      </w:r>
      <w:r>
        <w:rPr>
          <w:rFonts w:ascii="宋体" w:hAnsi="宋体" w:eastAsia="宋体" w:cs="Times New Roman"/>
          <w:szCs w:val="21"/>
        </w:rPr>
        <w:t>。相关</w:t>
      </w:r>
      <w:r>
        <w:rPr>
          <w:rFonts w:hint="eastAsia" w:ascii="宋体" w:hAnsi="宋体" w:eastAsia="宋体" w:cs="Times New Roman"/>
          <w:szCs w:val="21"/>
        </w:rPr>
        <w:t>监狱企业</w:t>
      </w:r>
      <w:r>
        <w:rPr>
          <w:rFonts w:ascii="宋体" w:hAnsi="宋体" w:eastAsia="宋体" w:cs="Times New Roman"/>
          <w:szCs w:val="21"/>
        </w:rPr>
        <w:t>的具体情况如下：</w:t>
      </w:r>
    </w:p>
    <w:p w14:paraId="3DFD39FC">
      <w:pPr>
        <w:ind w:firstLine="420" w:firstLineChars="200"/>
        <w:rPr>
          <w:rFonts w:hint="eastAsia" w:ascii="宋体" w:hAnsi="宋体" w:eastAsia="宋体" w:cs="Times New Roman"/>
          <w:szCs w:val="21"/>
        </w:rPr>
      </w:pPr>
      <w:r>
        <w:rPr>
          <w:rFonts w:ascii="宋体" w:hAnsi="宋体" w:eastAsia="宋体" w:cs="Times New Roman"/>
          <w:szCs w:val="21"/>
        </w:rPr>
        <w:t>1.</w:t>
      </w:r>
      <w:r>
        <w:rPr>
          <w:rFonts w:ascii="宋体" w:hAnsi="宋体" w:eastAsia="宋体" w:cs="Times New Roman"/>
          <w:b/>
          <w:bCs/>
          <w:szCs w:val="21"/>
          <w:u w:val="single"/>
        </w:rPr>
        <w:t xml:space="preserve"> （标的名称）</w:t>
      </w:r>
      <w:r>
        <w:rPr>
          <w:rFonts w:hint="eastAsia" w:ascii="宋体" w:hAnsi="宋体" w:eastAsia="宋体" w:cs="Times New Roman"/>
          <w:szCs w:val="21"/>
        </w:rPr>
        <w:t>，承接单位</w:t>
      </w:r>
      <w:r>
        <w:rPr>
          <w:rFonts w:ascii="宋体" w:hAnsi="宋体" w:eastAsia="宋体" w:cs="Times New Roman"/>
          <w:szCs w:val="21"/>
        </w:rPr>
        <w:t>为</w:t>
      </w:r>
      <w:r>
        <w:rPr>
          <w:rFonts w:ascii="宋体" w:hAnsi="宋体" w:eastAsia="宋体" w:cs="Times New Roman"/>
          <w:b/>
          <w:bCs/>
          <w:szCs w:val="21"/>
          <w:u w:val="single"/>
        </w:rPr>
        <w:t>（</w:t>
      </w:r>
      <w:r>
        <w:rPr>
          <w:rFonts w:hint="eastAsia" w:ascii="宋体" w:hAnsi="宋体" w:eastAsia="宋体" w:cs="Times New Roman"/>
          <w:b/>
          <w:bCs/>
          <w:szCs w:val="21"/>
          <w:u w:val="single"/>
        </w:rPr>
        <w:t>企业</w:t>
      </w:r>
      <w:r>
        <w:rPr>
          <w:rFonts w:ascii="宋体" w:hAnsi="宋体" w:eastAsia="宋体" w:cs="Times New Roman"/>
          <w:b/>
          <w:bCs/>
          <w:szCs w:val="21"/>
          <w:u w:val="single"/>
        </w:rPr>
        <w:t>名称）</w:t>
      </w:r>
      <w:r>
        <w:rPr>
          <w:rFonts w:ascii="宋体" w:hAnsi="宋体" w:eastAsia="宋体" w:cs="Times New Roman"/>
          <w:szCs w:val="21"/>
        </w:rPr>
        <w:t>，属于</w:t>
      </w:r>
      <w:r>
        <w:rPr>
          <w:rFonts w:hint="eastAsia" w:ascii="宋体" w:hAnsi="宋体" w:eastAsia="宋体" w:cs="Times New Roman"/>
          <w:b/>
          <w:bCs/>
          <w:szCs w:val="21"/>
          <w:u w:val="single"/>
        </w:rPr>
        <w:t>监狱企业</w:t>
      </w:r>
      <w:r>
        <w:rPr>
          <w:rFonts w:ascii="宋体" w:hAnsi="宋体" w:eastAsia="宋体" w:cs="Times New Roman"/>
          <w:szCs w:val="21"/>
        </w:rPr>
        <w:t>；</w:t>
      </w:r>
    </w:p>
    <w:p w14:paraId="7584B557">
      <w:pPr>
        <w:ind w:firstLine="420" w:firstLineChars="200"/>
        <w:rPr>
          <w:rFonts w:hint="eastAsia" w:ascii="宋体" w:hAnsi="宋体" w:eastAsia="宋体" w:cs="Times New Roman"/>
          <w:szCs w:val="21"/>
        </w:rPr>
      </w:pPr>
      <w:r>
        <w:rPr>
          <w:rFonts w:ascii="宋体" w:hAnsi="宋体" w:eastAsia="宋体" w:cs="Times New Roman"/>
          <w:szCs w:val="21"/>
        </w:rPr>
        <w:t>2.</w:t>
      </w:r>
      <w:r>
        <w:rPr>
          <w:rFonts w:ascii="宋体" w:hAnsi="宋体" w:eastAsia="宋体" w:cs="Times New Roman"/>
          <w:b/>
          <w:bCs/>
          <w:szCs w:val="21"/>
          <w:u w:val="single"/>
        </w:rPr>
        <w:t xml:space="preserve"> （标的名称）</w:t>
      </w:r>
      <w:r>
        <w:rPr>
          <w:rFonts w:hint="eastAsia" w:ascii="宋体" w:hAnsi="宋体" w:eastAsia="宋体" w:cs="Times New Roman"/>
          <w:szCs w:val="21"/>
        </w:rPr>
        <w:t>，承接单位</w:t>
      </w:r>
      <w:r>
        <w:rPr>
          <w:rFonts w:ascii="宋体" w:hAnsi="宋体" w:eastAsia="宋体" w:cs="Times New Roman"/>
          <w:szCs w:val="21"/>
        </w:rPr>
        <w:t>为</w:t>
      </w:r>
      <w:r>
        <w:rPr>
          <w:rFonts w:ascii="宋体" w:hAnsi="宋体" w:eastAsia="宋体" w:cs="Times New Roman"/>
          <w:b/>
          <w:bCs/>
          <w:szCs w:val="21"/>
          <w:u w:val="single"/>
        </w:rPr>
        <w:t>（</w:t>
      </w:r>
      <w:r>
        <w:rPr>
          <w:rFonts w:hint="eastAsia" w:ascii="宋体" w:hAnsi="宋体" w:eastAsia="宋体" w:cs="Times New Roman"/>
          <w:b/>
          <w:bCs/>
          <w:szCs w:val="21"/>
          <w:u w:val="single"/>
        </w:rPr>
        <w:t>企业</w:t>
      </w:r>
      <w:r>
        <w:rPr>
          <w:rFonts w:ascii="宋体" w:hAnsi="宋体" w:eastAsia="宋体" w:cs="Times New Roman"/>
          <w:b/>
          <w:bCs/>
          <w:szCs w:val="21"/>
          <w:u w:val="single"/>
        </w:rPr>
        <w:t>名称）</w:t>
      </w:r>
      <w:r>
        <w:rPr>
          <w:rFonts w:ascii="宋体" w:hAnsi="宋体" w:eastAsia="宋体" w:cs="Times New Roman"/>
          <w:szCs w:val="21"/>
        </w:rPr>
        <w:t>，属于</w:t>
      </w:r>
      <w:r>
        <w:rPr>
          <w:rFonts w:hint="eastAsia" w:ascii="宋体" w:hAnsi="宋体" w:eastAsia="宋体" w:cs="Times New Roman"/>
          <w:b/>
          <w:bCs/>
          <w:szCs w:val="21"/>
          <w:u w:val="single"/>
        </w:rPr>
        <w:t>监狱企业</w:t>
      </w:r>
      <w:r>
        <w:rPr>
          <w:rFonts w:hint="eastAsia" w:ascii="宋体" w:hAnsi="宋体" w:eastAsia="宋体" w:cs="Times New Roman"/>
          <w:szCs w:val="21"/>
        </w:rPr>
        <w:t>。</w:t>
      </w:r>
    </w:p>
    <w:p w14:paraId="1394D413">
      <w:pPr>
        <w:ind w:firstLine="420" w:firstLineChars="200"/>
        <w:rPr>
          <w:rFonts w:hint="eastAsia" w:ascii="宋体" w:hAnsi="宋体" w:eastAsia="宋体" w:cs="Times New Roman"/>
          <w:szCs w:val="21"/>
        </w:rPr>
      </w:pPr>
      <w:r>
        <w:rPr>
          <w:rFonts w:ascii="宋体" w:hAnsi="宋体" w:eastAsia="宋体" w:cs="Times New Roman"/>
          <w:szCs w:val="21"/>
        </w:rPr>
        <w:t xml:space="preserve">…… </w:t>
      </w:r>
    </w:p>
    <w:p w14:paraId="499B4714">
      <w:pPr>
        <w:ind w:firstLine="420" w:firstLineChars="200"/>
        <w:rPr>
          <w:rFonts w:hint="eastAsia"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投标人</w:t>
      </w:r>
      <w:r>
        <w:rPr>
          <w:rFonts w:ascii="宋体" w:hAnsi="宋体" w:eastAsia="宋体" w:cs="Times New Roman"/>
          <w:szCs w:val="21"/>
        </w:rPr>
        <w:t>对上述声明内容的真实性负责。如有虚假，将依法承担相应责任。</w:t>
      </w:r>
    </w:p>
    <w:p w14:paraId="3F45461D">
      <w:pPr>
        <w:ind w:firstLine="420" w:firstLineChars="200"/>
        <w:rPr>
          <w:rFonts w:hint="eastAsia" w:ascii="宋体" w:hAnsi="宋体" w:eastAsia="宋体" w:cs="Times New Roman"/>
          <w:szCs w:val="21"/>
        </w:rPr>
      </w:pPr>
      <w:r>
        <w:rPr>
          <w:rFonts w:hint="eastAsia" w:ascii="宋体" w:hAnsi="宋体" w:eastAsia="宋体" w:cs="Times New Roman"/>
          <w:szCs w:val="21"/>
        </w:rPr>
        <w:t>附：省级以上监狱管理局、戒毒管理局（含新疆生产建设兵团）出具的监狱企业证明文件。</w:t>
      </w:r>
    </w:p>
    <w:p w14:paraId="505257AB">
      <w:pPr>
        <w:ind w:firstLine="420" w:firstLineChars="200"/>
        <w:rPr>
          <w:rFonts w:hint="eastAsia" w:ascii="宋体" w:hAnsi="宋体" w:eastAsia="宋体" w:cs="Times New Roman"/>
          <w:szCs w:val="21"/>
        </w:rPr>
      </w:pPr>
    </w:p>
    <w:p w14:paraId="1297BCFC">
      <w:pPr>
        <w:wordWrap w:val="0"/>
        <w:ind w:firstLine="422" w:firstLineChars="200"/>
        <w:jc w:val="right"/>
        <w:rPr>
          <w:rFonts w:hint="eastAsia" w:ascii="宋体" w:hAnsi="宋体" w:eastAsia="宋体" w:cs="Times New Roman"/>
          <w:b/>
          <w:bCs/>
          <w:szCs w:val="21"/>
        </w:rPr>
      </w:pPr>
      <w:r>
        <w:rPr>
          <w:rFonts w:hint="eastAsia" w:ascii="宋体" w:hAnsi="宋体" w:eastAsia="宋体" w:cs="Times New Roman"/>
          <w:b/>
          <w:bCs/>
          <w:szCs w:val="21"/>
        </w:rPr>
        <w:t>企业名称</w:t>
      </w:r>
      <w:r>
        <w:rPr>
          <w:rFonts w:hint="eastAsia" w:ascii="宋体" w:hAnsi="宋体" w:eastAsia="宋体" w:cs="Times New Roman"/>
          <w:b/>
          <w:bCs/>
          <w:szCs w:val="21"/>
          <w:lang w:eastAsia="zh-CN"/>
        </w:rPr>
        <w:t>（</w:t>
      </w:r>
      <w:r>
        <w:rPr>
          <w:rFonts w:hint="eastAsia" w:ascii="宋体" w:hAnsi="宋体" w:eastAsia="宋体" w:cs="Times New Roman"/>
          <w:b/>
          <w:bCs/>
          <w:szCs w:val="21"/>
          <w:lang w:val="en-US" w:eastAsia="zh-CN"/>
        </w:rPr>
        <w:t>加盖投标人公章</w:t>
      </w:r>
      <w:r>
        <w:rPr>
          <w:rFonts w:hint="eastAsia" w:ascii="宋体" w:hAnsi="宋体" w:eastAsia="宋体" w:cs="Times New Roman"/>
          <w:b/>
          <w:bCs/>
          <w:szCs w:val="21"/>
          <w:lang w:eastAsia="zh-CN"/>
        </w:rPr>
        <w:t>）</w:t>
      </w:r>
      <w:r>
        <w:rPr>
          <w:rFonts w:hint="eastAsia" w:ascii="宋体" w:hAnsi="宋体" w:eastAsia="宋体" w:cs="Times New Roman"/>
          <w:b/>
          <w:bCs/>
          <w:szCs w:val="21"/>
        </w:rPr>
        <w:t xml:space="preserve">：            </w:t>
      </w:r>
    </w:p>
    <w:p w14:paraId="23524FD8">
      <w:pPr>
        <w:ind w:firstLine="6325" w:firstLineChars="3000"/>
        <w:rPr>
          <w:rFonts w:hint="eastAsia" w:ascii="Times New Roman" w:hAnsi="Times New Roman" w:eastAsia="宋体" w:cs="Times New Roman"/>
        </w:rPr>
      </w:pPr>
      <w:r>
        <w:rPr>
          <w:rFonts w:hint="eastAsia" w:ascii="宋体" w:hAnsi="宋体" w:eastAsia="宋体" w:cs="Times New Roman"/>
          <w:b/>
          <w:bCs/>
          <w:szCs w:val="21"/>
        </w:rPr>
        <w:t>日  期：</w:t>
      </w:r>
    </w:p>
    <w:p w14:paraId="31A90DF1">
      <w:pPr>
        <w:rPr>
          <w:rFonts w:hint="eastAsia"/>
          <w:lang w:val="en-US" w:eastAsia="zh-CN"/>
        </w:rPr>
      </w:pPr>
    </w:p>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4D4163F-A3A9-411A-8925-7B11EB2B3D90}"/>
  </w:font>
  <w:font w:name="黑体">
    <w:panose1 w:val="02010609060101010101"/>
    <w:charset w:val="86"/>
    <w:family w:val="auto"/>
    <w:pitch w:val="default"/>
    <w:sig w:usb0="800002BF" w:usb1="38CF7CFA" w:usb2="00000016" w:usb3="00000000" w:csb0="00040001" w:csb1="00000000"/>
    <w:embedRegular r:id="rId2" w:fontKey="{1E7D5DE2-9729-479A-9171-30E1274581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594A4B3E-88D6-47AC-AFBF-282880B45CD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4" w:fontKey="{5CFBC4BB-1C39-4C89-86E6-7CBA7E438E8A}"/>
  </w:font>
  <w:font w:name="Wingdings 2">
    <w:altName w:val="Wingdings"/>
    <w:panose1 w:val="05020102010507070707"/>
    <w:charset w:val="02"/>
    <w:family w:val="roman"/>
    <w:pitch w:val="default"/>
    <w:sig w:usb0="00000000" w:usb1="00000000" w:usb2="00000000" w:usb3="00000000" w:csb0="80000000" w:csb1="00000000"/>
    <w:embedRegular r:id="rId5" w:fontKey="{90A2C440-9B69-461A-8D25-73CC0DEECC25}"/>
  </w:font>
  <w:font w:name="仿宋">
    <w:panose1 w:val="02010609060101010101"/>
    <w:charset w:val="86"/>
    <w:family w:val="modern"/>
    <w:pitch w:val="default"/>
    <w:sig w:usb0="800002BF" w:usb1="38CF7CFA" w:usb2="00000016" w:usb3="00000000" w:csb0="00040001" w:csb1="00000000"/>
    <w:embedRegular r:id="rId6" w:fontKey="{CD254B6C-42AC-4B61-B57A-D0A02D247261}"/>
  </w:font>
  <w:font w:name="仿宋_GB2312">
    <w:panose1 w:val="02010609030101010101"/>
    <w:charset w:val="86"/>
    <w:family w:val="modern"/>
    <w:pitch w:val="default"/>
    <w:sig w:usb0="00000001" w:usb1="080E0000" w:usb2="00000000" w:usb3="00000000" w:csb0="00040000" w:csb1="00000000"/>
    <w:embedRegular r:id="rId7" w:fontKey="{04A305A8-7515-4DED-A36B-4B9EA6ABC9E9}"/>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FEFC">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A5C13">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A5C13">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1">
    <w:nsid w:val="BFE3B534"/>
    <w:multiLevelType w:val="singleLevel"/>
    <w:tmpl w:val="BFE3B534"/>
    <w:lvl w:ilvl="0" w:tentative="0">
      <w:start w:val="1"/>
      <w:numFmt w:val="chineseCounting"/>
      <w:suff w:val="nothing"/>
      <w:lvlText w:val="%1、"/>
      <w:lvlJc w:val="left"/>
      <w:rPr>
        <w:rFonts w:hint="eastAsia"/>
      </w:rPr>
    </w:lvl>
  </w:abstractNum>
  <w:abstractNum w:abstractNumId="2">
    <w:nsid w:val="C1950ABE"/>
    <w:multiLevelType w:val="singleLevel"/>
    <w:tmpl w:val="C1950ABE"/>
    <w:lvl w:ilvl="0" w:tentative="0">
      <w:start w:val="1"/>
      <w:numFmt w:val="decimal"/>
      <w:lvlText w:val="%1."/>
      <w:lvlJc w:val="left"/>
      <w:pPr>
        <w:ind w:left="0" w:firstLine="454"/>
      </w:pPr>
      <w:rPr>
        <w:rFonts w:hint="default"/>
      </w:rPr>
    </w:lvl>
  </w:abstractNum>
  <w:abstractNum w:abstractNumId="3">
    <w:nsid w:val="C44D7A72"/>
    <w:multiLevelType w:val="multilevel"/>
    <w:tmpl w:val="C44D7A72"/>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pStyle w:val="28"/>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D2647515"/>
    <w:multiLevelType w:val="singleLevel"/>
    <w:tmpl w:val="D2647515"/>
    <w:lvl w:ilvl="0" w:tentative="0">
      <w:start w:val="1"/>
      <w:numFmt w:val="decimal"/>
      <w:suff w:val="space"/>
      <w:lvlText w:val="%1."/>
      <w:lvlJc w:val="left"/>
    </w:lvl>
  </w:abstractNum>
  <w:abstractNum w:abstractNumId="5">
    <w:nsid w:val="E3A49B7D"/>
    <w:multiLevelType w:val="multilevel"/>
    <w:tmpl w:val="E3A49B7D"/>
    <w:lvl w:ilvl="0" w:tentative="0">
      <w:start w:val="1"/>
      <w:numFmt w:val="chineseCounting"/>
      <w:pStyle w:val="3"/>
      <w:suff w:val="nothing"/>
      <w:lvlText w:val="%1、"/>
      <w:lvlJc w:val="left"/>
      <w:pPr>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6">
    <w:nsid w:val="68F46276"/>
    <w:multiLevelType w:val="singleLevel"/>
    <w:tmpl w:val="68F46276"/>
    <w:lvl w:ilvl="0" w:tentative="0">
      <w:start w:val="1"/>
      <w:numFmt w:val="chineseCounting"/>
      <w:suff w:val="nothing"/>
      <w:lvlText w:val="（%1）"/>
      <w:lvlJc w:val="left"/>
      <w:rPr>
        <w:rFonts w:hint="eastAsia"/>
        <w:b/>
        <w:bCs/>
        <w:sz w:val="21"/>
        <w:szCs w:val="21"/>
      </w:rPr>
    </w:lvl>
  </w:abstractNum>
  <w:abstractNum w:abstractNumId="7">
    <w:nsid w:val="783550B3"/>
    <w:multiLevelType w:val="multilevel"/>
    <w:tmpl w:val="783550B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6"/>
  </w:num>
  <w:num w:numId="4">
    <w:abstractNumId w:val="1"/>
  </w:num>
  <w:num w:numId="5">
    <w:abstractNumId w:val="2"/>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zMDEzMjVkMDlkYWZkNzMwYmM1YWE5ODA2OTkyMmMifQ=="/>
  </w:docVars>
  <w:rsids>
    <w:rsidRoot w:val="6C834047"/>
    <w:rsid w:val="000344B4"/>
    <w:rsid w:val="00053C60"/>
    <w:rsid w:val="000B7107"/>
    <w:rsid w:val="0012064E"/>
    <w:rsid w:val="00160AB7"/>
    <w:rsid w:val="0018017F"/>
    <w:rsid w:val="001A4887"/>
    <w:rsid w:val="001D6C41"/>
    <w:rsid w:val="002347AC"/>
    <w:rsid w:val="003B6225"/>
    <w:rsid w:val="003D5BB4"/>
    <w:rsid w:val="004131D9"/>
    <w:rsid w:val="0045793B"/>
    <w:rsid w:val="004957C7"/>
    <w:rsid w:val="00496832"/>
    <w:rsid w:val="00502BE3"/>
    <w:rsid w:val="00553753"/>
    <w:rsid w:val="005710AD"/>
    <w:rsid w:val="005E4D44"/>
    <w:rsid w:val="00646748"/>
    <w:rsid w:val="00676EDC"/>
    <w:rsid w:val="00691407"/>
    <w:rsid w:val="006A6286"/>
    <w:rsid w:val="00774D34"/>
    <w:rsid w:val="007A1D5E"/>
    <w:rsid w:val="007A33C0"/>
    <w:rsid w:val="008376CA"/>
    <w:rsid w:val="008B14D5"/>
    <w:rsid w:val="00995E54"/>
    <w:rsid w:val="009E0618"/>
    <w:rsid w:val="00A06C7C"/>
    <w:rsid w:val="00A347BE"/>
    <w:rsid w:val="00A74F51"/>
    <w:rsid w:val="00AC34DC"/>
    <w:rsid w:val="00B45E2E"/>
    <w:rsid w:val="00BA22A6"/>
    <w:rsid w:val="00BB2B02"/>
    <w:rsid w:val="00C71F43"/>
    <w:rsid w:val="00C85260"/>
    <w:rsid w:val="00CB1E3A"/>
    <w:rsid w:val="00CF3744"/>
    <w:rsid w:val="00DC3C95"/>
    <w:rsid w:val="00E80ADC"/>
    <w:rsid w:val="00F30A39"/>
    <w:rsid w:val="00F6056D"/>
    <w:rsid w:val="00FB0C1F"/>
    <w:rsid w:val="00FC3C7C"/>
    <w:rsid w:val="012C543B"/>
    <w:rsid w:val="01454227"/>
    <w:rsid w:val="01D074EF"/>
    <w:rsid w:val="01E07528"/>
    <w:rsid w:val="020D0E08"/>
    <w:rsid w:val="02136CA6"/>
    <w:rsid w:val="025A0035"/>
    <w:rsid w:val="02915292"/>
    <w:rsid w:val="02B86098"/>
    <w:rsid w:val="02F05C02"/>
    <w:rsid w:val="031313C0"/>
    <w:rsid w:val="031F0607"/>
    <w:rsid w:val="032F23A1"/>
    <w:rsid w:val="03836A76"/>
    <w:rsid w:val="03D2588F"/>
    <w:rsid w:val="03E55D10"/>
    <w:rsid w:val="03F845EE"/>
    <w:rsid w:val="04042A23"/>
    <w:rsid w:val="040A332B"/>
    <w:rsid w:val="047B50AD"/>
    <w:rsid w:val="05202D30"/>
    <w:rsid w:val="05254FB3"/>
    <w:rsid w:val="052F2AD5"/>
    <w:rsid w:val="05326EE1"/>
    <w:rsid w:val="055C38E6"/>
    <w:rsid w:val="05641F5B"/>
    <w:rsid w:val="05B23E2C"/>
    <w:rsid w:val="05DA1757"/>
    <w:rsid w:val="05F056DC"/>
    <w:rsid w:val="05F1200A"/>
    <w:rsid w:val="060A6344"/>
    <w:rsid w:val="063F3034"/>
    <w:rsid w:val="06522338"/>
    <w:rsid w:val="06AF5D40"/>
    <w:rsid w:val="070067F9"/>
    <w:rsid w:val="073025C3"/>
    <w:rsid w:val="073A23B4"/>
    <w:rsid w:val="07413980"/>
    <w:rsid w:val="077A3964"/>
    <w:rsid w:val="07D41F0B"/>
    <w:rsid w:val="07F625C9"/>
    <w:rsid w:val="08102D63"/>
    <w:rsid w:val="08451DFB"/>
    <w:rsid w:val="08515EAF"/>
    <w:rsid w:val="087844C0"/>
    <w:rsid w:val="093461AA"/>
    <w:rsid w:val="094C34A8"/>
    <w:rsid w:val="096104A7"/>
    <w:rsid w:val="099B7EFB"/>
    <w:rsid w:val="09D92C85"/>
    <w:rsid w:val="0A001B44"/>
    <w:rsid w:val="0A2A0E8B"/>
    <w:rsid w:val="0A40483A"/>
    <w:rsid w:val="0A825EE0"/>
    <w:rsid w:val="0ABD2013"/>
    <w:rsid w:val="0ACB0109"/>
    <w:rsid w:val="0B0B1068"/>
    <w:rsid w:val="0B1E2291"/>
    <w:rsid w:val="0B45008E"/>
    <w:rsid w:val="0B51492D"/>
    <w:rsid w:val="0BB26C0F"/>
    <w:rsid w:val="0BC32F1D"/>
    <w:rsid w:val="0BD04736"/>
    <w:rsid w:val="0BE32E55"/>
    <w:rsid w:val="0BF97942"/>
    <w:rsid w:val="0C3E5484"/>
    <w:rsid w:val="0C6D1992"/>
    <w:rsid w:val="0D0979F4"/>
    <w:rsid w:val="0D2E508E"/>
    <w:rsid w:val="0D597A12"/>
    <w:rsid w:val="0D752812"/>
    <w:rsid w:val="0D7C0F42"/>
    <w:rsid w:val="0D8065FF"/>
    <w:rsid w:val="0DA81D81"/>
    <w:rsid w:val="0DBE2B84"/>
    <w:rsid w:val="0DC52981"/>
    <w:rsid w:val="0DD116B9"/>
    <w:rsid w:val="0DDB592D"/>
    <w:rsid w:val="0E164CC7"/>
    <w:rsid w:val="0E2874EF"/>
    <w:rsid w:val="0E2B3022"/>
    <w:rsid w:val="0E4D5CCF"/>
    <w:rsid w:val="0E6C173F"/>
    <w:rsid w:val="0E762BA4"/>
    <w:rsid w:val="0EBC2250"/>
    <w:rsid w:val="0EBD28E2"/>
    <w:rsid w:val="0EE30456"/>
    <w:rsid w:val="0EFE5D1A"/>
    <w:rsid w:val="0F3B7E78"/>
    <w:rsid w:val="0F5C67CE"/>
    <w:rsid w:val="0FF76325"/>
    <w:rsid w:val="100E324B"/>
    <w:rsid w:val="101927BC"/>
    <w:rsid w:val="1027514F"/>
    <w:rsid w:val="10432F6F"/>
    <w:rsid w:val="10776224"/>
    <w:rsid w:val="108430C1"/>
    <w:rsid w:val="108D506C"/>
    <w:rsid w:val="11241A79"/>
    <w:rsid w:val="11661393"/>
    <w:rsid w:val="125C18C7"/>
    <w:rsid w:val="127F6578"/>
    <w:rsid w:val="12A11193"/>
    <w:rsid w:val="12AD3208"/>
    <w:rsid w:val="12AF5FA0"/>
    <w:rsid w:val="12B75DF4"/>
    <w:rsid w:val="12CA7023"/>
    <w:rsid w:val="12E9208E"/>
    <w:rsid w:val="133D3396"/>
    <w:rsid w:val="139053CB"/>
    <w:rsid w:val="13C03A3F"/>
    <w:rsid w:val="13C63C00"/>
    <w:rsid w:val="13F232DC"/>
    <w:rsid w:val="140911DD"/>
    <w:rsid w:val="140A70D6"/>
    <w:rsid w:val="1439023B"/>
    <w:rsid w:val="148033F6"/>
    <w:rsid w:val="14821FC7"/>
    <w:rsid w:val="14C111C1"/>
    <w:rsid w:val="14C719AA"/>
    <w:rsid w:val="14CC3A12"/>
    <w:rsid w:val="14E41E09"/>
    <w:rsid w:val="152911A5"/>
    <w:rsid w:val="15357930"/>
    <w:rsid w:val="153D00AD"/>
    <w:rsid w:val="15866F37"/>
    <w:rsid w:val="15DF0E40"/>
    <w:rsid w:val="16081023"/>
    <w:rsid w:val="161065A9"/>
    <w:rsid w:val="16912885"/>
    <w:rsid w:val="16EB0227"/>
    <w:rsid w:val="17040B80"/>
    <w:rsid w:val="171C51C5"/>
    <w:rsid w:val="172A3E60"/>
    <w:rsid w:val="172E7CE3"/>
    <w:rsid w:val="177A613F"/>
    <w:rsid w:val="17951038"/>
    <w:rsid w:val="17AC23CC"/>
    <w:rsid w:val="17C760F2"/>
    <w:rsid w:val="180D75E3"/>
    <w:rsid w:val="183F0164"/>
    <w:rsid w:val="18B40FBC"/>
    <w:rsid w:val="18B800A1"/>
    <w:rsid w:val="19255DCC"/>
    <w:rsid w:val="192C673E"/>
    <w:rsid w:val="194720B3"/>
    <w:rsid w:val="195F3A08"/>
    <w:rsid w:val="19BA3865"/>
    <w:rsid w:val="19E65A79"/>
    <w:rsid w:val="1A173743"/>
    <w:rsid w:val="1A38618F"/>
    <w:rsid w:val="1A8D3203"/>
    <w:rsid w:val="1ACF0B3D"/>
    <w:rsid w:val="1B0F665F"/>
    <w:rsid w:val="1B4532FC"/>
    <w:rsid w:val="1B5E1503"/>
    <w:rsid w:val="1B5F214E"/>
    <w:rsid w:val="1B7C534C"/>
    <w:rsid w:val="1B9A7D23"/>
    <w:rsid w:val="1BEB04A1"/>
    <w:rsid w:val="1C7070B0"/>
    <w:rsid w:val="1C744ABA"/>
    <w:rsid w:val="1C8E0F48"/>
    <w:rsid w:val="1C911C2F"/>
    <w:rsid w:val="1C933922"/>
    <w:rsid w:val="1CCB58EE"/>
    <w:rsid w:val="1CCD6C87"/>
    <w:rsid w:val="1CDD37B2"/>
    <w:rsid w:val="1D234443"/>
    <w:rsid w:val="1D360E61"/>
    <w:rsid w:val="1D953E10"/>
    <w:rsid w:val="1DA35F17"/>
    <w:rsid w:val="1DC50CA2"/>
    <w:rsid w:val="1DC835AB"/>
    <w:rsid w:val="1E4A7657"/>
    <w:rsid w:val="1E4F2AB5"/>
    <w:rsid w:val="1ED5109D"/>
    <w:rsid w:val="1EE837A9"/>
    <w:rsid w:val="1F09296A"/>
    <w:rsid w:val="1F177B91"/>
    <w:rsid w:val="1F334CDA"/>
    <w:rsid w:val="1FAE59D5"/>
    <w:rsid w:val="1FBF0E43"/>
    <w:rsid w:val="201A5759"/>
    <w:rsid w:val="20453428"/>
    <w:rsid w:val="204C1AA7"/>
    <w:rsid w:val="20504DAD"/>
    <w:rsid w:val="20903B62"/>
    <w:rsid w:val="20A512C8"/>
    <w:rsid w:val="20AB2EAA"/>
    <w:rsid w:val="20E1026C"/>
    <w:rsid w:val="214E6F48"/>
    <w:rsid w:val="21BF15BD"/>
    <w:rsid w:val="21E22C8C"/>
    <w:rsid w:val="21F618F2"/>
    <w:rsid w:val="227A759B"/>
    <w:rsid w:val="229963C3"/>
    <w:rsid w:val="22BB6B16"/>
    <w:rsid w:val="22C1636B"/>
    <w:rsid w:val="22CC7073"/>
    <w:rsid w:val="23146D1C"/>
    <w:rsid w:val="23267FF5"/>
    <w:rsid w:val="2343486B"/>
    <w:rsid w:val="234E1757"/>
    <w:rsid w:val="23686028"/>
    <w:rsid w:val="236B42A9"/>
    <w:rsid w:val="237E20B2"/>
    <w:rsid w:val="23F02C2F"/>
    <w:rsid w:val="23F92BC0"/>
    <w:rsid w:val="23FB6133"/>
    <w:rsid w:val="24277CB9"/>
    <w:rsid w:val="2451051E"/>
    <w:rsid w:val="245D2187"/>
    <w:rsid w:val="24C10BC5"/>
    <w:rsid w:val="24C35F85"/>
    <w:rsid w:val="24D76437"/>
    <w:rsid w:val="24DB639E"/>
    <w:rsid w:val="25363D57"/>
    <w:rsid w:val="254602B5"/>
    <w:rsid w:val="25675A68"/>
    <w:rsid w:val="256B5D97"/>
    <w:rsid w:val="258E66F1"/>
    <w:rsid w:val="25A17048"/>
    <w:rsid w:val="25AA1953"/>
    <w:rsid w:val="25C03857"/>
    <w:rsid w:val="26376BDA"/>
    <w:rsid w:val="266004DF"/>
    <w:rsid w:val="266B4CA7"/>
    <w:rsid w:val="266F1E25"/>
    <w:rsid w:val="26903815"/>
    <w:rsid w:val="26A234A6"/>
    <w:rsid w:val="26F53199"/>
    <w:rsid w:val="276C7A5B"/>
    <w:rsid w:val="27805C54"/>
    <w:rsid w:val="27A55E44"/>
    <w:rsid w:val="27B3551A"/>
    <w:rsid w:val="27F966F1"/>
    <w:rsid w:val="28026FB4"/>
    <w:rsid w:val="283B2CB1"/>
    <w:rsid w:val="283F40F3"/>
    <w:rsid w:val="28661EB0"/>
    <w:rsid w:val="288C3979"/>
    <w:rsid w:val="289374F6"/>
    <w:rsid w:val="28943FB7"/>
    <w:rsid w:val="28E02848"/>
    <w:rsid w:val="28E84476"/>
    <w:rsid w:val="28F16B15"/>
    <w:rsid w:val="29013153"/>
    <w:rsid w:val="291B14A3"/>
    <w:rsid w:val="2924051E"/>
    <w:rsid w:val="29667775"/>
    <w:rsid w:val="2982527A"/>
    <w:rsid w:val="29870D90"/>
    <w:rsid w:val="29BF6131"/>
    <w:rsid w:val="29C63A81"/>
    <w:rsid w:val="29C6410C"/>
    <w:rsid w:val="2A7B6524"/>
    <w:rsid w:val="2A855AE0"/>
    <w:rsid w:val="2A945E06"/>
    <w:rsid w:val="2B0674C1"/>
    <w:rsid w:val="2B1159EA"/>
    <w:rsid w:val="2B1F5AB9"/>
    <w:rsid w:val="2B693FCF"/>
    <w:rsid w:val="2B8723B0"/>
    <w:rsid w:val="2B91079D"/>
    <w:rsid w:val="2BCF08C3"/>
    <w:rsid w:val="2BD76EBF"/>
    <w:rsid w:val="2BE0789B"/>
    <w:rsid w:val="2C6866E1"/>
    <w:rsid w:val="2C9430C5"/>
    <w:rsid w:val="2D327F63"/>
    <w:rsid w:val="2D5D04EE"/>
    <w:rsid w:val="2D8C591B"/>
    <w:rsid w:val="2D976A55"/>
    <w:rsid w:val="2DF82B5F"/>
    <w:rsid w:val="2E092D17"/>
    <w:rsid w:val="2E0E4749"/>
    <w:rsid w:val="2E100D83"/>
    <w:rsid w:val="2E211E7A"/>
    <w:rsid w:val="2E3C1707"/>
    <w:rsid w:val="2E740630"/>
    <w:rsid w:val="2EE816FC"/>
    <w:rsid w:val="2F0561E0"/>
    <w:rsid w:val="2F27390C"/>
    <w:rsid w:val="2F4C490A"/>
    <w:rsid w:val="2F575893"/>
    <w:rsid w:val="2F847C99"/>
    <w:rsid w:val="2FAF4DBB"/>
    <w:rsid w:val="2FCD1F6D"/>
    <w:rsid w:val="300532EB"/>
    <w:rsid w:val="304A1F19"/>
    <w:rsid w:val="304D6274"/>
    <w:rsid w:val="306412B5"/>
    <w:rsid w:val="30752C64"/>
    <w:rsid w:val="30E56AB5"/>
    <w:rsid w:val="30F07BE1"/>
    <w:rsid w:val="31147C16"/>
    <w:rsid w:val="319F3468"/>
    <w:rsid w:val="319F3BBD"/>
    <w:rsid w:val="31ED0193"/>
    <w:rsid w:val="32144E47"/>
    <w:rsid w:val="3237665D"/>
    <w:rsid w:val="32461820"/>
    <w:rsid w:val="325835B9"/>
    <w:rsid w:val="328400CE"/>
    <w:rsid w:val="32A07F64"/>
    <w:rsid w:val="32FB01FE"/>
    <w:rsid w:val="33095871"/>
    <w:rsid w:val="331319DB"/>
    <w:rsid w:val="33277F92"/>
    <w:rsid w:val="33323512"/>
    <w:rsid w:val="33752A50"/>
    <w:rsid w:val="337C7989"/>
    <w:rsid w:val="339A4B40"/>
    <w:rsid w:val="33AA3CF2"/>
    <w:rsid w:val="3410155C"/>
    <w:rsid w:val="341E36BB"/>
    <w:rsid w:val="343C3A04"/>
    <w:rsid w:val="34431EA7"/>
    <w:rsid w:val="346324F1"/>
    <w:rsid w:val="34AB3B75"/>
    <w:rsid w:val="34B32BAB"/>
    <w:rsid w:val="34FC24E9"/>
    <w:rsid w:val="3514778C"/>
    <w:rsid w:val="35426EBC"/>
    <w:rsid w:val="355777DC"/>
    <w:rsid w:val="358B3F52"/>
    <w:rsid w:val="35C35415"/>
    <w:rsid w:val="35CE0280"/>
    <w:rsid w:val="35E31EF5"/>
    <w:rsid w:val="36611242"/>
    <w:rsid w:val="3685222F"/>
    <w:rsid w:val="36C9448B"/>
    <w:rsid w:val="36CA3AF7"/>
    <w:rsid w:val="36D336FB"/>
    <w:rsid w:val="36EC0A54"/>
    <w:rsid w:val="370528F7"/>
    <w:rsid w:val="371A3030"/>
    <w:rsid w:val="376828FD"/>
    <w:rsid w:val="376D0FF4"/>
    <w:rsid w:val="37A62B35"/>
    <w:rsid w:val="37A90A67"/>
    <w:rsid w:val="381E2D6D"/>
    <w:rsid w:val="38206907"/>
    <w:rsid w:val="38215AFB"/>
    <w:rsid w:val="382A3256"/>
    <w:rsid w:val="38465E1D"/>
    <w:rsid w:val="388C46A9"/>
    <w:rsid w:val="38BE6D6D"/>
    <w:rsid w:val="38DF4D20"/>
    <w:rsid w:val="38E211C5"/>
    <w:rsid w:val="38EA1EA3"/>
    <w:rsid w:val="39160D7C"/>
    <w:rsid w:val="392B6C13"/>
    <w:rsid w:val="396D0156"/>
    <w:rsid w:val="39BD6F4E"/>
    <w:rsid w:val="39D9748F"/>
    <w:rsid w:val="3A47088A"/>
    <w:rsid w:val="3A7B27A0"/>
    <w:rsid w:val="3AA94EDF"/>
    <w:rsid w:val="3AB462B3"/>
    <w:rsid w:val="3AC347B1"/>
    <w:rsid w:val="3ACC6D0A"/>
    <w:rsid w:val="3ADA06B0"/>
    <w:rsid w:val="3B5A32ED"/>
    <w:rsid w:val="3B697839"/>
    <w:rsid w:val="3B6F5982"/>
    <w:rsid w:val="3B7116D5"/>
    <w:rsid w:val="3C7701A0"/>
    <w:rsid w:val="3C82631C"/>
    <w:rsid w:val="3CCE460B"/>
    <w:rsid w:val="3CDA7D7B"/>
    <w:rsid w:val="3D434507"/>
    <w:rsid w:val="3DBE1D23"/>
    <w:rsid w:val="3E0D47EE"/>
    <w:rsid w:val="3E221EF8"/>
    <w:rsid w:val="3E345C27"/>
    <w:rsid w:val="3E786267"/>
    <w:rsid w:val="3E833C64"/>
    <w:rsid w:val="3E9B42A1"/>
    <w:rsid w:val="3EBD5A23"/>
    <w:rsid w:val="3EBF086E"/>
    <w:rsid w:val="3EEE5831"/>
    <w:rsid w:val="3EF81E75"/>
    <w:rsid w:val="3EFD3D61"/>
    <w:rsid w:val="3F012EA5"/>
    <w:rsid w:val="3FA43ABD"/>
    <w:rsid w:val="3FB45903"/>
    <w:rsid w:val="40600BCC"/>
    <w:rsid w:val="40A55796"/>
    <w:rsid w:val="40BC0347"/>
    <w:rsid w:val="40D82BBF"/>
    <w:rsid w:val="411F6FE2"/>
    <w:rsid w:val="41860095"/>
    <w:rsid w:val="41CC7B33"/>
    <w:rsid w:val="41DB3457"/>
    <w:rsid w:val="41DC5E77"/>
    <w:rsid w:val="423B2E33"/>
    <w:rsid w:val="42872BA3"/>
    <w:rsid w:val="429B6D92"/>
    <w:rsid w:val="42AF05B5"/>
    <w:rsid w:val="42C236EC"/>
    <w:rsid w:val="42E10C6D"/>
    <w:rsid w:val="42E858C4"/>
    <w:rsid w:val="430D19B4"/>
    <w:rsid w:val="432923B9"/>
    <w:rsid w:val="43324E9F"/>
    <w:rsid w:val="434420FC"/>
    <w:rsid w:val="436D6A83"/>
    <w:rsid w:val="43AE13D9"/>
    <w:rsid w:val="43AE4585"/>
    <w:rsid w:val="43DC2DE0"/>
    <w:rsid w:val="449C48D2"/>
    <w:rsid w:val="44B51DCC"/>
    <w:rsid w:val="44BA175B"/>
    <w:rsid w:val="44C46F12"/>
    <w:rsid w:val="44E00D26"/>
    <w:rsid w:val="44F92103"/>
    <w:rsid w:val="4513234C"/>
    <w:rsid w:val="45244CBC"/>
    <w:rsid w:val="45450B59"/>
    <w:rsid w:val="4589466F"/>
    <w:rsid w:val="458D2573"/>
    <w:rsid w:val="45902523"/>
    <w:rsid w:val="45AE6FAE"/>
    <w:rsid w:val="46102DED"/>
    <w:rsid w:val="468054CC"/>
    <w:rsid w:val="46966CED"/>
    <w:rsid w:val="46EB3935"/>
    <w:rsid w:val="46EC1D01"/>
    <w:rsid w:val="476B7F33"/>
    <w:rsid w:val="478B7A4D"/>
    <w:rsid w:val="47CB202D"/>
    <w:rsid w:val="48293BE4"/>
    <w:rsid w:val="482C2540"/>
    <w:rsid w:val="48473B94"/>
    <w:rsid w:val="485E2C28"/>
    <w:rsid w:val="48713109"/>
    <w:rsid w:val="489C608A"/>
    <w:rsid w:val="48CA464B"/>
    <w:rsid w:val="48F14BDC"/>
    <w:rsid w:val="48F233CA"/>
    <w:rsid w:val="48F31752"/>
    <w:rsid w:val="48FC66BC"/>
    <w:rsid w:val="49002664"/>
    <w:rsid w:val="49090703"/>
    <w:rsid w:val="493679F5"/>
    <w:rsid w:val="4938350A"/>
    <w:rsid w:val="49951BB3"/>
    <w:rsid w:val="49B64435"/>
    <w:rsid w:val="49D342BB"/>
    <w:rsid w:val="4A015E62"/>
    <w:rsid w:val="4A064EEE"/>
    <w:rsid w:val="4A1E37FC"/>
    <w:rsid w:val="4A31510E"/>
    <w:rsid w:val="4A5F3D71"/>
    <w:rsid w:val="4AEA7988"/>
    <w:rsid w:val="4B047121"/>
    <w:rsid w:val="4B717168"/>
    <w:rsid w:val="4BC028FC"/>
    <w:rsid w:val="4BCA5094"/>
    <w:rsid w:val="4BDA0A9D"/>
    <w:rsid w:val="4BE44ED6"/>
    <w:rsid w:val="4C05088C"/>
    <w:rsid w:val="4C1B2025"/>
    <w:rsid w:val="4C2717A5"/>
    <w:rsid w:val="4C857B24"/>
    <w:rsid w:val="4C8C6DFE"/>
    <w:rsid w:val="4CC76B04"/>
    <w:rsid w:val="4CE74E05"/>
    <w:rsid w:val="4D0B1AD9"/>
    <w:rsid w:val="4D5812A7"/>
    <w:rsid w:val="4D826A23"/>
    <w:rsid w:val="4DA265CE"/>
    <w:rsid w:val="4E304F29"/>
    <w:rsid w:val="4E4330EC"/>
    <w:rsid w:val="4E752708"/>
    <w:rsid w:val="4EBD72A6"/>
    <w:rsid w:val="4EEC6159"/>
    <w:rsid w:val="4F0B69B3"/>
    <w:rsid w:val="4F0F1BE6"/>
    <w:rsid w:val="4F1953DD"/>
    <w:rsid w:val="4F1D30FA"/>
    <w:rsid w:val="4F1F0726"/>
    <w:rsid w:val="4F2214E2"/>
    <w:rsid w:val="4F224485"/>
    <w:rsid w:val="4F332EB2"/>
    <w:rsid w:val="4F3F4C1E"/>
    <w:rsid w:val="4F851457"/>
    <w:rsid w:val="4F92421B"/>
    <w:rsid w:val="4FA90D93"/>
    <w:rsid w:val="4FE409BD"/>
    <w:rsid w:val="4FEB69CC"/>
    <w:rsid w:val="4FF11731"/>
    <w:rsid w:val="505705C7"/>
    <w:rsid w:val="50765730"/>
    <w:rsid w:val="509A08F9"/>
    <w:rsid w:val="509C0D86"/>
    <w:rsid w:val="50A73F8D"/>
    <w:rsid w:val="515352CC"/>
    <w:rsid w:val="51D07C76"/>
    <w:rsid w:val="51E43152"/>
    <w:rsid w:val="51E87392"/>
    <w:rsid w:val="52290587"/>
    <w:rsid w:val="52534FAC"/>
    <w:rsid w:val="52582856"/>
    <w:rsid w:val="52615257"/>
    <w:rsid w:val="529227A0"/>
    <w:rsid w:val="52AB38AC"/>
    <w:rsid w:val="52CF14A7"/>
    <w:rsid w:val="52DA3931"/>
    <w:rsid w:val="52FF0D79"/>
    <w:rsid w:val="530D1238"/>
    <w:rsid w:val="53122B84"/>
    <w:rsid w:val="53142E77"/>
    <w:rsid w:val="532D15C2"/>
    <w:rsid w:val="533A4B08"/>
    <w:rsid w:val="539244C2"/>
    <w:rsid w:val="53B4077A"/>
    <w:rsid w:val="54081CB9"/>
    <w:rsid w:val="547C23CE"/>
    <w:rsid w:val="54854603"/>
    <w:rsid w:val="548A17D5"/>
    <w:rsid w:val="54A30A96"/>
    <w:rsid w:val="54BC50C6"/>
    <w:rsid w:val="54BD4AF5"/>
    <w:rsid w:val="54D16678"/>
    <w:rsid w:val="54ED0A94"/>
    <w:rsid w:val="551A3E74"/>
    <w:rsid w:val="554F2429"/>
    <w:rsid w:val="558106F6"/>
    <w:rsid w:val="55932D23"/>
    <w:rsid w:val="55AC77EC"/>
    <w:rsid w:val="55DC1F99"/>
    <w:rsid w:val="561E1D7E"/>
    <w:rsid w:val="562740B9"/>
    <w:rsid w:val="56291553"/>
    <w:rsid w:val="563B6407"/>
    <w:rsid w:val="56727CA9"/>
    <w:rsid w:val="57272710"/>
    <w:rsid w:val="57622A91"/>
    <w:rsid w:val="57AE5965"/>
    <w:rsid w:val="57B7551B"/>
    <w:rsid w:val="57E93AB7"/>
    <w:rsid w:val="5839671F"/>
    <w:rsid w:val="5842105E"/>
    <w:rsid w:val="58661CC5"/>
    <w:rsid w:val="58715C5B"/>
    <w:rsid w:val="58B60158"/>
    <w:rsid w:val="58C81096"/>
    <w:rsid w:val="593F63B4"/>
    <w:rsid w:val="5943594D"/>
    <w:rsid w:val="59790A1E"/>
    <w:rsid w:val="59933B19"/>
    <w:rsid w:val="599F4D1C"/>
    <w:rsid w:val="59A55E17"/>
    <w:rsid w:val="59CD26B9"/>
    <w:rsid w:val="59D0783E"/>
    <w:rsid w:val="59EC04ED"/>
    <w:rsid w:val="59EC3D30"/>
    <w:rsid w:val="5B1C32AC"/>
    <w:rsid w:val="5B5C2FC0"/>
    <w:rsid w:val="5BB84803"/>
    <w:rsid w:val="5C351661"/>
    <w:rsid w:val="5C5A2CD0"/>
    <w:rsid w:val="5C84622D"/>
    <w:rsid w:val="5C8D1018"/>
    <w:rsid w:val="5CD80ABF"/>
    <w:rsid w:val="5D015BB7"/>
    <w:rsid w:val="5D7C6F0A"/>
    <w:rsid w:val="5DE57309"/>
    <w:rsid w:val="5DF15728"/>
    <w:rsid w:val="5E3D6E7C"/>
    <w:rsid w:val="5E4812C5"/>
    <w:rsid w:val="5E6E2489"/>
    <w:rsid w:val="5E942BAA"/>
    <w:rsid w:val="5E9826FC"/>
    <w:rsid w:val="5FCA2996"/>
    <w:rsid w:val="5FE66B9C"/>
    <w:rsid w:val="6021738A"/>
    <w:rsid w:val="60255150"/>
    <w:rsid w:val="60484355"/>
    <w:rsid w:val="60AA63F2"/>
    <w:rsid w:val="60B44D11"/>
    <w:rsid w:val="60C21DAE"/>
    <w:rsid w:val="60C2740B"/>
    <w:rsid w:val="60CD0645"/>
    <w:rsid w:val="6107589F"/>
    <w:rsid w:val="613B39A0"/>
    <w:rsid w:val="61747E82"/>
    <w:rsid w:val="619E2462"/>
    <w:rsid w:val="61C564E0"/>
    <w:rsid w:val="61D33D26"/>
    <w:rsid w:val="623B56C7"/>
    <w:rsid w:val="623F06F8"/>
    <w:rsid w:val="624C0C34"/>
    <w:rsid w:val="62602E9B"/>
    <w:rsid w:val="626711ED"/>
    <w:rsid w:val="62677FF9"/>
    <w:rsid w:val="628B10B8"/>
    <w:rsid w:val="628C3FC7"/>
    <w:rsid w:val="62C00565"/>
    <w:rsid w:val="62C94CE2"/>
    <w:rsid w:val="62D17DD9"/>
    <w:rsid w:val="62EA2882"/>
    <w:rsid w:val="62EC32B6"/>
    <w:rsid w:val="63082DBB"/>
    <w:rsid w:val="6318513C"/>
    <w:rsid w:val="63256B17"/>
    <w:rsid w:val="634B5A07"/>
    <w:rsid w:val="634B78F8"/>
    <w:rsid w:val="63944C57"/>
    <w:rsid w:val="641765D1"/>
    <w:rsid w:val="641D1782"/>
    <w:rsid w:val="647749B0"/>
    <w:rsid w:val="647F01DB"/>
    <w:rsid w:val="64BE4897"/>
    <w:rsid w:val="64C67100"/>
    <w:rsid w:val="64F04B85"/>
    <w:rsid w:val="65142BB9"/>
    <w:rsid w:val="655D44C3"/>
    <w:rsid w:val="656A630C"/>
    <w:rsid w:val="656F293F"/>
    <w:rsid w:val="65813F34"/>
    <w:rsid w:val="65BF3C30"/>
    <w:rsid w:val="65FC4789"/>
    <w:rsid w:val="661C36C8"/>
    <w:rsid w:val="6627753B"/>
    <w:rsid w:val="664853B8"/>
    <w:rsid w:val="664A2863"/>
    <w:rsid w:val="66544835"/>
    <w:rsid w:val="66567D19"/>
    <w:rsid w:val="669D528F"/>
    <w:rsid w:val="66B839ED"/>
    <w:rsid w:val="66C10EF2"/>
    <w:rsid w:val="66ED682B"/>
    <w:rsid w:val="671A443C"/>
    <w:rsid w:val="672A0FD2"/>
    <w:rsid w:val="672E2B56"/>
    <w:rsid w:val="67435AED"/>
    <w:rsid w:val="677940B2"/>
    <w:rsid w:val="679C7C07"/>
    <w:rsid w:val="67BA443E"/>
    <w:rsid w:val="68461543"/>
    <w:rsid w:val="6848710F"/>
    <w:rsid w:val="68690645"/>
    <w:rsid w:val="6891551D"/>
    <w:rsid w:val="689723B9"/>
    <w:rsid w:val="689957E8"/>
    <w:rsid w:val="689F455D"/>
    <w:rsid w:val="691841CF"/>
    <w:rsid w:val="69392C90"/>
    <w:rsid w:val="6939609C"/>
    <w:rsid w:val="695F3B1A"/>
    <w:rsid w:val="69855630"/>
    <w:rsid w:val="69A51E04"/>
    <w:rsid w:val="6A7703A6"/>
    <w:rsid w:val="6A8A2C94"/>
    <w:rsid w:val="6A9B5A2D"/>
    <w:rsid w:val="6AC50341"/>
    <w:rsid w:val="6AC65DF3"/>
    <w:rsid w:val="6ACF6263"/>
    <w:rsid w:val="6AF9356D"/>
    <w:rsid w:val="6B172747"/>
    <w:rsid w:val="6B193A49"/>
    <w:rsid w:val="6B4E2B57"/>
    <w:rsid w:val="6B50725F"/>
    <w:rsid w:val="6B8C6C8C"/>
    <w:rsid w:val="6BB564B9"/>
    <w:rsid w:val="6C2C1ECC"/>
    <w:rsid w:val="6C3A6AAE"/>
    <w:rsid w:val="6C435476"/>
    <w:rsid w:val="6C705E2E"/>
    <w:rsid w:val="6C715B55"/>
    <w:rsid w:val="6C834047"/>
    <w:rsid w:val="6C9432E6"/>
    <w:rsid w:val="6C950AE3"/>
    <w:rsid w:val="6CB61AF6"/>
    <w:rsid w:val="6CE74BBA"/>
    <w:rsid w:val="6D1778F3"/>
    <w:rsid w:val="6D4D34C7"/>
    <w:rsid w:val="6DE860AF"/>
    <w:rsid w:val="6DEC2D05"/>
    <w:rsid w:val="6DF4036D"/>
    <w:rsid w:val="6DF83FA3"/>
    <w:rsid w:val="6E2E0238"/>
    <w:rsid w:val="6E353385"/>
    <w:rsid w:val="6E815BF5"/>
    <w:rsid w:val="6ECD793C"/>
    <w:rsid w:val="6EE52DA7"/>
    <w:rsid w:val="6EF6513E"/>
    <w:rsid w:val="6FDB386D"/>
    <w:rsid w:val="702B70BE"/>
    <w:rsid w:val="7055265A"/>
    <w:rsid w:val="7056191E"/>
    <w:rsid w:val="70680266"/>
    <w:rsid w:val="708510EA"/>
    <w:rsid w:val="70B27568"/>
    <w:rsid w:val="70D47A87"/>
    <w:rsid w:val="70E538F0"/>
    <w:rsid w:val="71031A6E"/>
    <w:rsid w:val="715F7D1E"/>
    <w:rsid w:val="716E3276"/>
    <w:rsid w:val="71D37DBD"/>
    <w:rsid w:val="71D432DD"/>
    <w:rsid w:val="71EF0A7B"/>
    <w:rsid w:val="720A68E1"/>
    <w:rsid w:val="721E7564"/>
    <w:rsid w:val="72625FC9"/>
    <w:rsid w:val="727677E6"/>
    <w:rsid w:val="72B7368A"/>
    <w:rsid w:val="72C41833"/>
    <w:rsid w:val="72D20C75"/>
    <w:rsid w:val="72E326F3"/>
    <w:rsid w:val="73297B04"/>
    <w:rsid w:val="73A2352F"/>
    <w:rsid w:val="73D12B6F"/>
    <w:rsid w:val="73DD5119"/>
    <w:rsid w:val="73DD794B"/>
    <w:rsid w:val="73F6620B"/>
    <w:rsid w:val="73FA5255"/>
    <w:rsid w:val="740830F9"/>
    <w:rsid w:val="740F3EFE"/>
    <w:rsid w:val="74191726"/>
    <w:rsid w:val="74546A09"/>
    <w:rsid w:val="745E2456"/>
    <w:rsid w:val="7464427F"/>
    <w:rsid w:val="747B7C0F"/>
    <w:rsid w:val="74A455AA"/>
    <w:rsid w:val="74DF1EE2"/>
    <w:rsid w:val="74E20B12"/>
    <w:rsid w:val="75394034"/>
    <w:rsid w:val="75454A9D"/>
    <w:rsid w:val="757226DA"/>
    <w:rsid w:val="758571B9"/>
    <w:rsid w:val="7592164A"/>
    <w:rsid w:val="75E6443D"/>
    <w:rsid w:val="762E2040"/>
    <w:rsid w:val="76417535"/>
    <w:rsid w:val="766522E9"/>
    <w:rsid w:val="767243C4"/>
    <w:rsid w:val="768E5F62"/>
    <w:rsid w:val="76A20C88"/>
    <w:rsid w:val="76A5471E"/>
    <w:rsid w:val="76AC312E"/>
    <w:rsid w:val="76C330D6"/>
    <w:rsid w:val="77120924"/>
    <w:rsid w:val="776E4DD9"/>
    <w:rsid w:val="77E77FA4"/>
    <w:rsid w:val="784C3351"/>
    <w:rsid w:val="785B23BB"/>
    <w:rsid w:val="785E722E"/>
    <w:rsid w:val="786F3FC5"/>
    <w:rsid w:val="78A97444"/>
    <w:rsid w:val="78B878D4"/>
    <w:rsid w:val="78D172D7"/>
    <w:rsid w:val="78FD62AB"/>
    <w:rsid w:val="790074D7"/>
    <w:rsid w:val="7985683A"/>
    <w:rsid w:val="79AE6381"/>
    <w:rsid w:val="79EE1860"/>
    <w:rsid w:val="7A243015"/>
    <w:rsid w:val="7A607960"/>
    <w:rsid w:val="7B093265"/>
    <w:rsid w:val="7B2A27B2"/>
    <w:rsid w:val="7B99560C"/>
    <w:rsid w:val="7BBA1FF4"/>
    <w:rsid w:val="7BE11ABF"/>
    <w:rsid w:val="7BF06A1E"/>
    <w:rsid w:val="7C272C0F"/>
    <w:rsid w:val="7C3230FF"/>
    <w:rsid w:val="7C3C5CA7"/>
    <w:rsid w:val="7C400E6A"/>
    <w:rsid w:val="7C593207"/>
    <w:rsid w:val="7C5C1710"/>
    <w:rsid w:val="7C692E3D"/>
    <w:rsid w:val="7C6D69F9"/>
    <w:rsid w:val="7C821361"/>
    <w:rsid w:val="7C9823B4"/>
    <w:rsid w:val="7C9B5B27"/>
    <w:rsid w:val="7CBE1679"/>
    <w:rsid w:val="7CC965F2"/>
    <w:rsid w:val="7CCE050A"/>
    <w:rsid w:val="7CE0408E"/>
    <w:rsid w:val="7D371D50"/>
    <w:rsid w:val="7D4A1538"/>
    <w:rsid w:val="7D820459"/>
    <w:rsid w:val="7DC2425E"/>
    <w:rsid w:val="7DDB1A21"/>
    <w:rsid w:val="7DF23B7F"/>
    <w:rsid w:val="7DF437F3"/>
    <w:rsid w:val="7E9B2915"/>
    <w:rsid w:val="7E9F144B"/>
    <w:rsid w:val="7EAB2E77"/>
    <w:rsid w:val="7EC2700A"/>
    <w:rsid w:val="7F0971EA"/>
    <w:rsid w:val="7F233B33"/>
    <w:rsid w:val="7FB34CE5"/>
    <w:rsid w:val="7FDE4DDA"/>
    <w:rsid w:val="7FE00371"/>
    <w:rsid w:val="7FFB0F67"/>
    <w:rsid w:val="FFF9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3">
    <w:name w:val="heading 1"/>
    <w:basedOn w:val="1"/>
    <w:next w:val="1"/>
    <w:link w:val="29"/>
    <w:qFormat/>
    <w:uiPriority w:val="0"/>
    <w:pPr>
      <w:keepNext/>
      <w:keepLines/>
      <w:pageBreakBefore/>
      <w:numPr>
        <w:ilvl w:val="0"/>
        <w:numId w:val="1"/>
      </w:numPr>
      <w:spacing w:line="360" w:lineRule="auto"/>
      <w:outlineLvl w:val="0"/>
    </w:pPr>
    <w:rPr>
      <w:b/>
      <w:bCs/>
      <w:kern w:val="44"/>
      <w:sz w:val="28"/>
      <w:szCs w:val="44"/>
    </w:rPr>
  </w:style>
  <w:style w:type="paragraph" w:styleId="2">
    <w:name w:val="heading 2"/>
    <w:basedOn w:val="1"/>
    <w:next w:val="1"/>
    <w:semiHidden/>
    <w:unhideWhenUsed/>
    <w:qFormat/>
    <w:uiPriority w:val="0"/>
    <w:pPr>
      <w:numPr>
        <w:ilvl w:val="1"/>
        <w:numId w:val="1"/>
      </w:numPr>
      <w:spacing w:line="360" w:lineRule="auto"/>
      <w:outlineLvl w:val="1"/>
    </w:pPr>
    <w:rPr>
      <w:rFonts w:ascii="Arial" w:hAnsi="Arial"/>
      <w:b/>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unhideWhenUsed/>
    <w:qFormat/>
    <w:uiPriority w:val="99"/>
    <w:pPr>
      <w:spacing w:beforeLines="0" w:afterLines="0"/>
      <w:ind w:firstLine="420" w:firstLineChars="200"/>
    </w:pPr>
    <w:rPr>
      <w:rFonts w:hint="default"/>
      <w:sz w:val="21"/>
      <w:szCs w:val="24"/>
    </w:rPr>
  </w:style>
  <w:style w:type="paragraph" w:styleId="12">
    <w:name w:val="Body Text"/>
    <w:basedOn w:val="1"/>
    <w:next w:val="1"/>
    <w:qFormat/>
    <w:uiPriority w:val="0"/>
    <w:pPr>
      <w:spacing w:line="360" w:lineRule="auto"/>
    </w:pPr>
    <w:rPr>
      <w:b/>
      <w:bCs/>
      <w:sz w:val="24"/>
    </w:rPr>
  </w:style>
  <w:style w:type="paragraph" w:styleId="13">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14">
    <w:name w:val="Body Text Indent"/>
    <w:basedOn w:val="1"/>
    <w:qFormat/>
    <w:uiPriority w:val="0"/>
    <w:pPr>
      <w:spacing w:after="120"/>
      <w:ind w:left="420" w:leftChars="200"/>
    </w:pPr>
  </w:style>
  <w:style w:type="paragraph" w:styleId="15">
    <w:name w:val="Plain Text"/>
    <w:basedOn w:val="1"/>
    <w:qFormat/>
    <w:uiPriority w:val="0"/>
    <w:rPr>
      <w:rFonts w:ascii="宋体" w:hAnsi="Courier New" w:cs="Courier New"/>
      <w:szCs w:val="21"/>
    </w:rPr>
  </w:style>
  <w:style w:type="paragraph" w:styleId="16">
    <w:name w:val="Balloon Text"/>
    <w:basedOn w:val="1"/>
    <w:link w:val="31"/>
    <w:qFormat/>
    <w:uiPriority w:val="0"/>
    <w:rPr>
      <w:sz w:val="18"/>
      <w:szCs w:val="18"/>
    </w:rPr>
  </w:style>
  <w:style w:type="paragraph" w:styleId="17">
    <w:name w:val="footer"/>
    <w:basedOn w:val="1"/>
    <w:link w:val="33"/>
    <w:qFormat/>
    <w:uiPriority w:val="0"/>
    <w:pPr>
      <w:tabs>
        <w:tab w:val="center" w:pos="4153"/>
        <w:tab w:val="right" w:pos="8306"/>
      </w:tabs>
      <w:snapToGrid w:val="0"/>
      <w:jc w:val="left"/>
    </w:pPr>
    <w:rPr>
      <w:sz w:val="18"/>
      <w:szCs w:val="18"/>
    </w:rPr>
  </w:style>
  <w:style w:type="paragraph" w:styleId="18">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9">
    <w:name w:val="toc 2"/>
    <w:basedOn w:val="1"/>
    <w:next w:val="1"/>
    <w:unhideWhenUsed/>
    <w:qFormat/>
    <w:uiPriority w:val="39"/>
    <w:pPr>
      <w:spacing w:after="100" w:line="259" w:lineRule="auto"/>
      <w:ind w:left="220"/>
    </w:pPr>
    <w:rPr>
      <w:rFonts w:ascii="Calibri" w:hAnsi="Calibri"/>
      <w:sz w:val="22"/>
      <w:szCs w:val="22"/>
    </w:rPr>
  </w:style>
  <w:style w:type="paragraph" w:styleId="20">
    <w:name w:val="Body Text 2"/>
    <w:basedOn w:val="1"/>
    <w:qFormat/>
    <w:uiPriority w:val="0"/>
    <w:pPr>
      <w:spacing w:line="360" w:lineRule="auto"/>
    </w:pPr>
    <w:rPr>
      <w:sz w:val="24"/>
    </w:rPr>
  </w:style>
  <w:style w:type="paragraph" w:styleId="21">
    <w:name w:val="Title"/>
    <w:basedOn w:val="1"/>
    <w:next w:val="1"/>
    <w:qFormat/>
    <w:uiPriority w:val="0"/>
    <w:pPr>
      <w:spacing w:before="240" w:after="60"/>
      <w:jc w:val="center"/>
      <w:outlineLvl w:val="0"/>
    </w:pPr>
    <w:rPr>
      <w:rFonts w:ascii="Cambria" w:hAnsi="Cambria" w:cs="Times New Roman"/>
      <w:b/>
      <w:bCs/>
      <w:sz w:val="32"/>
      <w:szCs w:val="32"/>
    </w:rPr>
  </w:style>
  <w:style w:type="paragraph" w:styleId="22">
    <w:name w:val="Body Text First Indent 2"/>
    <w:basedOn w:val="14"/>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annotation reference"/>
    <w:basedOn w:val="25"/>
    <w:qFormat/>
    <w:uiPriority w:val="0"/>
    <w:rPr>
      <w:sz w:val="21"/>
      <w:szCs w:val="21"/>
    </w:rPr>
  </w:style>
  <w:style w:type="paragraph" w:customStyle="1" w:styleId="27">
    <w:name w:val="简历"/>
    <w:basedOn w:val="1"/>
    <w:qFormat/>
    <w:uiPriority w:val="0"/>
    <w:rPr>
      <w:rFonts w:eastAsia="微软雅黑" w:asciiTheme="minorHAnsi" w:hAnsiTheme="minorHAnsi"/>
    </w:rPr>
  </w:style>
  <w:style w:type="paragraph" w:customStyle="1" w:styleId="28">
    <w:name w:val="样式1"/>
    <w:basedOn w:val="8"/>
    <w:qFormat/>
    <w:uiPriority w:val="0"/>
    <w:pPr>
      <w:numPr>
        <w:numId w:val="2"/>
      </w:numPr>
      <w:snapToGrid w:val="0"/>
      <w:spacing w:line="360" w:lineRule="auto"/>
      <w:jc w:val="left"/>
      <w:outlineLvl w:val="0"/>
    </w:pPr>
    <w:rPr>
      <w:rFonts w:asciiTheme="minorHAnsi" w:hAnsiTheme="minorHAnsi"/>
    </w:rPr>
  </w:style>
  <w:style w:type="character" w:customStyle="1" w:styleId="29">
    <w:name w:val="标题 1 字符"/>
    <w:basedOn w:val="25"/>
    <w:link w:val="3"/>
    <w:qFormat/>
    <w:uiPriority w:val="99"/>
    <w:rPr>
      <w:rFonts w:ascii="Times New Roman" w:hAnsi="Times New Roman" w:eastAsia="宋体"/>
      <w:b/>
      <w:bCs/>
      <w:kern w:val="44"/>
      <w:sz w:val="28"/>
      <w:szCs w:val="44"/>
    </w:rPr>
  </w:style>
  <w:style w:type="paragraph" w:styleId="30">
    <w:name w:val="List Paragraph"/>
    <w:basedOn w:val="1"/>
    <w:qFormat/>
    <w:uiPriority w:val="99"/>
    <w:pPr>
      <w:ind w:firstLine="420" w:firstLineChars="200"/>
    </w:pPr>
  </w:style>
  <w:style w:type="character" w:customStyle="1" w:styleId="31">
    <w:name w:val="批注框文本 字符"/>
    <w:basedOn w:val="25"/>
    <w:link w:val="16"/>
    <w:qFormat/>
    <w:uiPriority w:val="0"/>
    <w:rPr>
      <w:rFonts w:ascii="等线" w:hAnsi="等线" w:eastAsia="等线" w:cs="等线"/>
      <w:kern w:val="2"/>
      <w:sz w:val="18"/>
      <w:szCs w:val="18"/>
    </w:rPr>
  </w:style>
  <w:style w:type="character" w:customStyle="1" w:styleId="32">
    <w:name w:val="页眉 字符"/>
    <w:basedOn w:val="25"/>
    <w:link w:val="18"/>
    <w:qFormat/>
    <w:uiPriority w:val="0"/>
    <w:rPr>
      <w:rFonts w:ascii="等线" w:hAnsi="等线" w:eastAsia="等线" w:cs="等线"/>
      <w:kern w:val="2"/>
      <w:sz w:val="18"/>
      <w:szCs w:val="18"/>
    </w:rPr>
  </w:style>
  <w:style w:type="character" w:customStyle="1" w:styleId="33">
    <w:name w:val="页脚 字符"/>
    <w:basedOn w:val="25"/>
    <w:link w:val="17"/>
    <w:qFormat/>
    <w:uiPriority w:val="0"/>
    <w:rPr>
      <w:rFonts w:ascii="等线" w:hAnsi="等线" w:eastAsia="等线" w:cs="等线"/>
      <w:kern w:val="2"/>
      <w:sz w:val="18"/>
      <w:szCs w:val="18"/>
    </w:rPr>
  </w:style>
  <w:style w:type="character" w:customStyle="1" w:styleId="34">
    <w:name w:val="font11"/>
    <w:basedOn w:val="25"/>
    <w:qFormat/>
    <w:uiPriority w:val="0"/>
    <w:rPr>
      <w:rFonts w:hint="eastAsia" w:ascii="宋体" w:hAnsi="宋体" w:eastAsia="宋体" w:cs="宋体"/>
      <w:color w:val="000000"/>
      <w:sz w:val="20"/>
      <w:szCs w:val="20"/>
      <w:u w:val="none"/>
    </w:rPr>
  </w:style>
  <w:style w:type="paragraph" w:customStyle="1" w:styleId="35">
    <w:name w:val="文档正文"/>
    <w:basedOn w:val="1"/>
    <w:qFormat/>
    <w:uiPriority w:val="0"/>
    <w:pPr>
      <w:spacing w:afterLines="0" w:line="360" w:lineRule="auto"/>
    </w:pPr>
    <w:rPr>
      <w:rFonts w:cs="Arial"/>
      <w:bCs/>
    </w:rPr>
  </w:style>
  <w:style w:type="paragraph" w:customStyle="1" w:styleId="36">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37">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3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9759</Words>
  <Characters>10087</Characters>
  <Lines>124</Lines>
  <Paragraphs>35</Paragraphs>
  <TotalTime>0</TotalTime>
  <ScaleCrop>false</ScaleCrop>
  <LinksUpToDate>false</LinksUpToDate>
  <CharactersWithSpaces>10141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2023-12-26T02:36:00Z</dcterms:created>
  <dc:creator> Nice</dc:creator>
  <cp:lastModifiedBy>三千年青丝</cp:lastModifiedBy>
  <cp:lastPrinted>2026-03-10T08:59:00Z</cp:lastPrinted>
  <dcterms:modified xsi:type="dcterms:W3CDTF">2026-03-13T15:52:46Z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D831D620348D4D4085D76444E12BB6F6_11</vt:lpwstr>
  </property>
  <property fmtid="{D5CDD505-2E9C-101B-9397-08002B2CF9AE}" pid="4" name="KSOTemplateDocerSaveRecord">
    <vt:lpwstr>eyJoZGlkIjoiNzIzMDEzMjVkMDlkYWZkNzMwYmM1YWE5ODA2OTkyMmMiLCJ1c2VySWQiOiI4OTE3NDA2OTYifQ==</vt:lpwstr>
  </property>
</Properties>
</file>